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E36B" w14:textId="5ED3A3CF" w:rsidR="00681756" w:rsidRPr="000327C9" w:rsidRDefault="00285E47" w:rsidP="00285E47">
      <w:pPr>
        <w:jc w:val="center"/>
        <w:rPr>
          <w:rFonts w:ascii="Arial Nova" w:hAnsi="Arial Nova"/>
          <w:b/>
          <w:bCs/>
          <w:sz w:val="24"/>
          <w:szCs w:val="22"/>
          <w:u w:val="single"/>
        </w:rPr>
      </w:pPr>
      <w:r w:rsidRPr="000327C9">
        <w:rPr>
          <w:rFonts w:ascii="Arial Nova" w:hAnsi="Arial Nova"/>
          <w:b/>
          <w:bCs/>
          <w:sz w:val="24"/>
          <w:szCs w:val="22"/>
          <w:u w:val="single"/>
        </w:rPr>
        <w:t>India Microfinance Equity Fund (IMEF)</w:t>
      </w:r>
    </w:p>
    <w:tbl>
      <w:tblPr>
        <w:tblStyle w:val="TableGrid"/>
        <w:tblW w:w="9351" w:type="dxa"/>
        <w:jc w:val="center"/>
        <w:tblLook w:val="04A0" w:firstRow="1" w:lastRow="0" w:firstColumn="1" w:lastColumn="0" w:noHBand="0" w:noVBand="1"/>
      </w:tblPr>
      <w:tblGrid>
        <w:gridCol w:w="675"/>
        <w:gridCol w:w="3969"/>
        <w:gridCol w:w="4707"/>
      </w:tblGrid>
      <w:tr w:rsidR="000327C9" w:rsidRPr="00285E47" w14:paraId="009151A4" w14:textId="77777777" w:rsidTr="000327C9">
        <w:trPr>
          <w:trHeight w:val="536"/>
          <w:jc w:val="center"/>
        </w:trPr>
        <w:tc>
          <w:tcPr>
            <w:tcW w:w="675" w:type="dxa"/>
            <w:shd w:val="clear" w:color="auto" w:fill="C1E4F5" w:themeFill="accent1" w:themeFillTint="33"/>
            <w:vAlign w:val="center"/>
          </w:tcPr>
          <w:p w14:paraId="468EC998" w14:textId="35E61979" w:rsidR="000327C9" w:rsidRPr="00285E47" w:rsidRDefault="000327C9" w:rsidP="00037797">
            <w:pPr>
              <w:pStyle w:val="BodyText"/>
              <w:autoSpaceDE/>
              <w:autoSpaceDN/>
              <w:adjustRightInd/>
              <w:spacing w:line="276" w:lineRule="auto"/>
              <w:jc w:val="center"/>
              <w:rPr>
                <w:rFonts w:ascii="Arial Nova" w:hAnsi="Arial Nova"/>
                <w:b/>
                <w:bCs/>
                <w:sz w:val="22"/>
              </w:rPr>
            </w:pPr>
            <w:r>
              <w:rPr>
                <w:rFonts w:ascii="Arial Nova" w:hAnsi="Arial Nova"/>
                <w:b/>
                <w:bCs/>
                <w:sz w:val="22"/>
              </w:rPr>
              <w:t>SNo</w:t>
            </w:r>
          </w:p>
        </w:tc>
        <w:tc>
          <w:tcPr>
            <w:tcW w:w="3969" w:type="dxa"/>
            <w:shd w:val="clear" w:color="auto" w:fill="C1E4F5" w:themeFill="accent1" w:themeFillTint="33"/>
            <w:vAlign w:val="center"/>
          </w:tcPr>
          <w:p w14:paraId="236D77AA" w14:textId="35CE4DE3" w:rsidR="000327C9" w:rsidRPr="00037797" w:rsidRDefault="000327C9" w:rsidP="00037797">
            <w:pPr>
              <w:pStyle w:val="BodyText"/>
              <w:autoSpaceDE/>
              <w:autoSpaceDN/>
              <w:adjustRightInd/>
              <w:spacing w:line="276" w:lineRule="auto"/>
              <w:jc w:val="center"/>
              <w:rPr>
                <w:rFonts w:ascii="Arial Nova" w:hAnsi="Arial Nova"/>
                <w:b/>
                <w:bCs/>
                <w:sz w:val="22"/>
              </w:rPr>
            </w:pPr>
            <w:r w:rsidRPr="00285E47">
              <w:rPr>
                <w:rFonts w:ascii="Arial Nova" w:hAnsi="Arial Nova"/>
                <w:b/>
                <w:bCs/>
                <w:sz w:val="22"/>
              </w:rPr>
              <w:t>MFIs / NBFC-MFIs</w:t>
            </w:r>
          </w:p>
        </w:tc>
        <w:tc>
          <w:tcPr>
            <w:tcW w:w="4707" w:type="dxa"/>
            <w:shd w:val="clear" w:color="auto" w:fill="C1E4F5" w:themeFill="accent1" w:themeFillTint="33"/>
            <w:vAlign w:val="center"/>
          </w:tcPr>
          <w:p w14:paraId="399483E2" w14:textId="3D55DC57" w:rsidR="000327C9" w:rsidRPr="00285E47" w:rsidRDefault="000327C9" w:rsidP="00285E47">
            <w:pPr>
              <w:jc w:val="center"/>
              <w:rPr>
                <w:rFonts w:ascii="Arial Nova" w:hAnsi="Arial Nova"/>
                <w:b/>
                <w:bCs/>
              </w:rPr>
            </w:pPr>
            <w:r w:rsidRPr="00285E47">
              <w:rPr>
                <w:rFonts w:ascii="Arial Nova" w:hAnsi="Arial Nova"/>
                <w:b/>
                <w:bCs/>
              </w:rPr>
              <w:t>NBFCs</w:t>
            </w:r>
          </w:p>
        </w:tc>
      </w:tr>
      <w:tr w:rsidR="000327C9" w:rsidRPr="00285E47" w14:paraId="41CEBB50" w14:textId="77777777" w:rsidTr="000327C9">
        <w:trPr>
          <w:jc w:val="center"/>
        </w:trPr>
        <w:tc>
          <w:tcPr>
            <w:tcW w:w="675" w:type="dxa"/>
          </w:tcPr>
          <w:p w14:paraId="671832EE" w14:textId="77777777" w:rsidR="000327C9" w:rsidRDefault="000327C9" w:rsidP="00285E47">
            <w:pPr>
              <w:jc w:val="both"/>
              <w:rPr>
                <w:rFonts w:ascii="Arial Nova" w:hAnsi="Arial Nova"/>
                <w:b/>
                <w:bCs/>
                <w:u w:val="single"/>
              </w:rPr>
            </w:pPr>
          </w:p>
          <w:p w14:paraId="05CC7D21" w14:textId="2666C23C" w:rsidR="000327C9" w:rsidRPr="000327C9" w:rsidRDefault="000327C9" w:rsidP="000327C9">
            <w:pPr>
              <w:jc w:val="center"/>
              <w:rPr>
                <w:rFonts w:ascii="Arial Nova" w:hAnsi="Arial Nova"/>
                <w:b/>
                <w:bCs/>
              </w:rPr>
            </w:pPr>
            <w:r w:rsidRPr="000327C9">
              <w:rPr>
                <w:rFonts w:ascii="Arial Nova" w:hAnsi="Arial Nova"/>
                <w:b/>
                <w:bCs/>
              </w:rPr>
              <w:t>1</w:t>
            </w:r>
          </w:p>
        </w:tc>
        <w:tc>
          <w:tcPr>
            <w:tcW w:w="3969" w:type="dxa"/>
          </w:tcPr>
          <w:p w14:paraId="5BAB1198" w14:textId="6ED894AC" w:rsidR="000327C9" w:rsidRDefault="000327C9" w:rsidP="00285E47">
            <w:pPr>
              <w:jc w:val="both"/>
              <w:rPr>
                <w:rFonts w:ascii="Arial Nova" w:hAnsi="Arial Nova"/>
                <w:b/>
                <w:bCs/>
                <w:u w:val="single"/>
              </w:rPr>
            </w:pPr>
          </w:p>
          <w:p w14:paraId="6D8E2C89" w14:textId="1BA9C9AF" w:rsidR="000327C9" w:rsidRPr="00285E47" w:rsidRDefault="000327C9" w:rsidP="00285E47">
            <w:pPr>
              <w:jc w:val="both"/>
              <w:rPr>
                <w:rFonts w:ascii="Arial Nova" w:hAnsi="Arial Nova"/>
                <w:b/>
                <w:bCs/>
                <w:u w:val="single"/>
              </w:rPr>
            </w:pPr>
            <w:r w:rsidRPr="00285E47">
              <w:rPr>
                <w:rFonts w:ascii="Arial Nova" w:hAnsi="Arial Nova"/>
                <w:b/>
                <w:bCs/>
                <w:u w:val="single"/>
              </w:rPr>
              <w:t>Eligibility criteria:</w:t>
            </w:r>
          </w:p>
          <w:p w14:paraId="383D704F" w14:textId="1ADE9597" w:rsidR="000327C9" w:rsidRPr="00285E47" w:rsidRDefault="000327C9" w:rsidP="00285E47">
            <w:pPr>
              <w:pStyle w:val="BodyText"/>
              <w:numPr>
                <w:ilvl w:val="0"/>
                <w:numId w:val="5"/>
              </w:numPr>
              <w:autoSpaceDE/>
              <w:autoSpaceDN/>
              <w:adjustRightInd/>
              <w:spacing w:line="276" w:lineRule="auto"/>
              <w:rPr>
                <w:rFonts w:ascii="Arial Nova" w:hAnsi="Arial Nova"/>
                <w:color w:val="000000"/>
                <w:sz w:val="22"/>
              </w:rPr>
            </w:pPr>
            <w:r>
              <w:rPr>
                <w:rFonts w:ascii="Arial Nova" w:hAnsi="Arial Nova"/>
                <w:color w:val="000000"/>
                <w:sz w:val="22"/>
              </w:rPr>
              <w:t xml:space="preserve"> </w:t>
            </w:r>
            <w:r w:rsidRPr="00285E47">
              <w:rPr>
                <w:rFonts w:ascii="Arial Nova" w:hAnsi="Arial Nova"/>
                <w:color w:val="000000"/>
                <w:sz w:val="22"/>
              </w:rPr>
              <w:t>Tier – II (having borrowers between 50,000 and 3,75,000) and Tier – III (having less than 50,000 borrowers) NBFC MFIs and all non-NBFC MFIs, with emphasis on those operating in unserved and underserved areas or expanding their operations to such areas.</w:t>
            </w:r>
          </w:p>
          <w:p w14:paraId="473118C3" w14:textId="77777777" w:rsidR="000327C9" w:rsidRDefault="000327C9" w:rsidP="00285E47">
            <w:pPr>
              <w:pStyle w:val="BodyText"/>
              <w:autoSpaceDE/>
              <w:autoSpaceDN/>
              <w:adjustRightInd/>
              <w:spacing w:line="276" w:lineRule="auto"/>
              <w:ind w:left="180"/>
              <w:rPr>
                <w:rFonts w:ascii="Arial Nova" w:hAnsi="Arial Nova"/>
                <w:color w:val="000000"/>
                <w:sz w:val="22"/>
              </w:rPr>
            </w:pPr>
          </w:p>
          <w:p w14:paraId="1E3244C7" w14:textId="41071157" w:rsidR="000327C9" w:rsidRDefault="000327C9" w:rsidP="00285E47">
            <w:pPr>
              <w:pStyle w:val="BodyText"/>
              <w:numPr>
                <w:ilvl w:val="0"/>
                <w:numId w:val="5"/>
              </w:numPr>
              <w:autoSpaceDE/>
              <w:autoSpaceDN/>
              <w:adjustRightInd/>
              <w:spacing w:line="276" w:lineRule="auto"/>
              <w:rPr>
                <w:rFonts w:ascii="Arial Nova" w:hAnsi="Arial Nova"/>
                <w:color w:val="000000"/>
                <w:sz w:val="22"/>
              </w:rPr>
            </w:pPr>
            <w:r w:rsidRPr="00285E47">
              <w:rPr>
                <w:rFonts w:ascii="Arial Nova" w:hAnsi="Arial Nova"/>
                <w:color w:val="000000"/>
                <w:sz w:val="22"/>
              </w:rPr>
              <w:t>Minimum outreach of 3,000 poor members.</w:t>
            </w:r>
          </w:p>
          <w:p w14:paraId="59EBAADF" w14:textId="77777777" w:rsidR="000327C9" w:rsidRDefault="000327C9" w:rsidP="00285E47">
            <w:pPr>
              <w:pStyle w:val="BodyText"/>
              <w:autoSpaceDE/>
              <w:autoSpaceDN/>
              <w:adjustRightInd/>
              <w:spacing w:line="276" w:lineRule="auto"/>
              <w:ind w:left="180"/>
              <w:rPr>
                <w:rFonts w:ascii="Arial Nova" w:hAnsi="Arial Nova"/>
                <w:color w:val="000000"/>
                <w:sz w:val="22"/>
              </w:rPr>
            </w:pPr>
          </w:p>
          <w:p w14:paraId="59799E3B" w14:textId="77777777" w:rsidR="000327C9" w:rsidRDefault="000327C9" w:rsidP="00285E47">
            <w:pPr>
              <w:pStyle w:val="BodyText"/>
              <w:numPr>
                <w:ilvl w:val="0"/>
                <w:numId w:val="5"/>
              </w:numPr>
              <w:autoSpaceDE/>
              <w:autoSpaceDN/>
              <w:adjustRightInd/>
              <w:spacing w:line="276" w:lineRule="auto"/>
              <w:rPr>
                <w:rFonts w:ascii="Arial Nova" w:hAnsi="Arial Nova"/>
                <w:color w:val="000000"/>
                <w:sz w:val="22"/>
              </w:rPr>
            </w:pPr>
            <w:r w:rsidRPr="00285E47">
              <w:rPr>
                <w:rFonts w:ascii="Arial Nova" w:hAnsi="Arial Nova"/>
                <w:color w:val="000000"/>
                <w:sz w:val="22"/>
              </w:rPr>
              <w:t xml:space="preserve">Minimum MFI grading norm of Beta+ of M-CRIL (and its equivalent grade for gradings by other agencies, including Bank Loan Rating). </w:t>
            </w:r>
          </w:p>
          <w:p w14:paraId="29B8122E" w14:textId="77777777" w:rsidR="000327C9" w:rsidRDefault="000327C9" w:rsidP="00285E47">
            <w:pPr>
              <w:pStyle w:val="ListParagraph"/>
              <w:jc w:val="both"/>
              <w:rPr>
                <w:rFonts w:ascii="Arial Nova" w:hAnsi="Arial Nova"/>
                <w:color w:val="000000"/>
              </w:rPr>
            </w:pPr>
          </w:p>
          <w:p w14:paraId="60B6BBD0" w14:textId="77777777" w:rsidR="000327C9" w:rsidRDefault="000327C9" w:rsidP="00037797">
            <w:pPr>
              <w:pStyle w:val="BodyText"/>
              <w:numPr>
                <w:ilvl w:val="0"/>
                <w:numId w:val="5"/>
              </w:numPr>
              <w:autoSpaceDE/>
              <w:autoSpaceDN/>
              <w:adjustRightInd/>
              <w:spacing w:line="276" w:lineRule="auto"/>
              <w:rPr>
                <w:rFonts w:ascii="Arial Nova" w:hAnsi="Arial Nova"/>
                <w:color w:val="000000"/>
                <w:sz w:val="22"/>
              </w:rPr>
            </w:pPr>
            <w:r w:rsidRPr="00285E47">
              <w:rPr>
                <w:rFonts w:ascii="Arial Nova" w:hAnsi="Arial Nova"/>
                <w:color w:val="000000"/>
                <w:sz w:val="22"/>
              </w:rPr>
              <w:t>Existence for at least five years and / or it has a demonstrated track record of running a successful micro-credit programme at least for the last three years</w:t>
            </w:r>
            <w:r>
              <w:rPr>
                <w:rFonts w:ascii="Arial Nova" w:hAnsi="Arial Nova"/>
                <w:color w:val="000000"/>
                <w:sz w:val="22"/>
              </w:rPr>
              <w:t>.</w:t>
            </w:r>
          </w:p>
          <w:p w14:paraId="5D50058F" w14:textId="77777777" w:rsidR="000327C9" w:rsidRDefault="000327C9" w:rsidP="00037797">
            <w:pPr>
              <w:pStyle w:val="ListParagraph"/>
              <w:rPr>
                <w:rFonts w:ascii="Arial Nova" w:hAnsi="Arial Nova"/>
                <w:color w:val="000000"/>
              </w:rPr>
            </w:pPr>
          </w:p>
          <w:p w14:paraId="61F5BF97" w14:textId="17E253D4" w:rsidR="000327C9" w:rsidRPr="00037797" w:rsidRDefault="000327C9" w:rsidP="00037797">
            <w:pPr>
              <w:pStyle w:val="BodyText"/>
              <w:numPr>
                <w:ilvl w:val="0"/>
                <w:numId w:val="5"/>
              </w:numPr>
              <w:autoSpaceDE/>
              <w:autoSpaceDN/>
              <w:adjustRightInd/>
              <w:spacing w:line="276" w:lineRule="auto"/>
              <w:rPr>
                <w:rFonts w:ascii="Arial Nova" w:hAnsi="Arial Nova"/>
                <w:color w:val="000000"/>
                <w:sz w:val="22"/>
              </w:rPr>
            </w:pPr>
            <w:r w:rsidRPr="00037797">
              <w:rPr>
                <w:rFonts w:ascii="Arial Nova" w:hAnsi="Arial Nova"/>
                <w:color w:val="000000"/>
                <w:sz w:val="22"/>
              </w:rPr>
              <w:t>NBFC-MFIs should have Capital Adequacy Ratio of minimum 15%</w:t>
            </w:r>
          </w:p>
        </w:tc>
        <w:tc>
          <w:tcPr>
            <w:tcW w:w="4707" w:type="dxa"/>
          </w:tcPr>
          <w:p w14:paraId="363F560D" w14:textId="77777777" w:rsidR="000327C9" w:rsidRDefault="000327C9" w:rsidP="00285E47">
            <w:pPr>
              <w:pStyle w:val="ListParagraph"/>
              <w:spacing w:line="276" w:lineRule="auto"/>
              <w:jc w:val="both"/>
              <w:rPr>
                <w:rFonts w:ascii="Arial Nova" w:hAnsi="Arial Nova" w:cs="Arial"/>
                <w:b/>
                <w:bCs/>
                <w:szCs w:val="22"/>
                <w:u w:val="single"/>
              </w:rPr>
            </w:pPr>
          </w:p>
          <w:p w14:paraId="7870645D" w14:textId="4CCED7F3" w:rsidR="000327C9" w:rsidRPr="00285E47" w:rsidRDefault="000327C9" w:rsidP="00285E47">
            <w:pPr>
              <w:pStyle w:val="ListParagraph"/>
              <w:spacing w:line="276" w:lineRule="auto"/>
              <w:jc w:val="both"/>
              <w:rPr>
                <w:rFonts w:ascii="Arial Nova" w:hAnsi="Arial Nova" w:cs="Arial"/>
                <w:b/>
                <w:bCs/>
                <w:szCs w:val="22"/>
                <w:u w:val="single"/>
              </w:rPr>
            </w:pPr>
            <w:r w:rsidRPr="00285E47">
              <w:rPr>
                <w:rFonts w:ascii="Arial Nova" w:hAnsi="Arial Nova" w:cs="Arial"/>
                <w:b/>
                <w:bCs/>
                <w:szCs w:val="22"/>
                <w:u w:val="single"/>
              </w:rPr>
              <w:t>Eligibility criteria</w:t>
            </w:r>
          </w:p>
          <w:p w14:paraId="76D601D0" w14:textId="77777777" w:rsidR="000327C9" w:rsidRPr="00285E47" w:rsidRDefault="000327C9" w:rsidP="00285E47">
            <w:pPr>
              <w:pStyle w:val="ListParagraph"/>
              <w:numPr>
                <w:ilvl w:val="0"/>
                <w:numId w:val="6"/>
              </w:numPr>
              <w:spacing w:line="276" w:lineRule="auto"/>
              <w:contextualSpacing w:val="0"/>
              <w:jc w:val="both"/>
              <w:rPr>
                <w:rFonts w:ascii="Arial Nova" w:hAnsi="Arial Nova" w:cs="Arial"/>
                <w:b/>
                <w:bCs/>
                <w:szCs w:val="22"/>
              </w:rPr>
            </w:pPr>
            <w:r w:rsidRPr="00285E47">
              <w:rPr>
                <w:rFonts w:ascii="Arial Nova" w:hAnsi="Arial Nova" w:cs="Arial"/>
                <w:szCs w:val="22"/>
              </w:rPr>
              <w:t xml:space="preserve">NBFCs having </w:t>
            </w:r>
            <w:proofErr w:type="spellStart"/>
            <w:r w:rsidRPr="00285E47">
              <w:rPr>
                <w:rFonts w:ascii="Arial Nova" w:hAnsi="Arial Nova" w:cs="Arial"/>
                <w:szCs w:val="22"/>
              </w:rPr>
              <w:t>upto</w:t>
            </w:r>
            <w:proofErr w:type="spellEnd"/>
            <w:r w:rsidRPr="00285E47">
              <w:rPr>
                <w:rFonts w:ascii="Arial Nova" w:hAnsi="Arial Nova" w:cs="Arial"/>
                <w:szCs w:val="22"/>
              </w:rPr>
              <w:t xml:space="preserve"> 50,000 borrowers, registered with RBI as NBFC- ICC (NBFC- Investment and Credit Company</w:t>
            </w:r>
            <w:r>
              <w:rPr>
                <w:rFonts w:ascii="Arial Nova" w:hAnsi="Arial Nova" w:cs="Arial"/>
                <w:szCs w:val="22"/>
              </w:rPr>
              <w:t xml:space="preserve"> </w:t>
            </w:r>
          </w:p>
          <w:p w14:paraId="0176C1C2" w14:textId="42EA09B0" w:rsidR="000327C9" w:rsidRPr="00285E47" w:rsidRDefault="000327C9" w:rsidP="00285E47">
            <w:pPr>
              <w:pStyle w:val="ListParagraph"/>
              <w:numPr>
                <w:ilvl w:val="0"/>
                <w:numId w:val="6"/>
              </w:numPr>
              <w:spacing w:line="276" w:lineRule="auto"/>
              <w:contextualSpacing w:val="0"/>
              <w:jc w:val="both"/>
              <w:rPr>
                <w:rFonts w:ascii="Arial Nova" w:hAnsi="Arial Nova" w:cs="Arial"/>
                <w:b/>
                <w:bCs/>
                <w:szCs w:val="22"/>
              </w:rPr>
            </w:pPr>
            <w:r>
              <w:rPr>
                <w:rFonts w:ascii="Arial Nova" w:hAnsi="Arial Nova" w:cs="Arial"/>
                <w:szCs w:val="22"/>
              </w:rPr>
              <w:t>P</w:t>
            </w:r>
            <w:r w:rsidRPr="00285E47">
              <w:rPr>
                <w:rFonts w:ascii="Arial Nova" w:hAnsi="Arial Nova" w:cs="Arial"/>
                <w:szCs w:val="22"/>
              </w:rPr>
              <w:t>redominantly assisting micro and small enterprises (MSEs) by way of loans and advances falling within the definition of “MUDRA” loans to MSEs as per MSMED Act, 2006, for supporting income generating activities</w:t>
            </w:r>
            <w:r w:rsidRPr="00285E47">
              <w:rPr>
                <w:rFonts w:ascii="Arial Nova" w:hAnsi="Arial Nova"/>
                <w:szCs w:val="22"/>
              </w:rPr>
              <w:t xml:space="preserve"> </w:t>
            </w:r>
            <w:r w:rsidRPr="00285E47">
              <w:rPr>
                <w:rFonts w:ascii="Arial Nova" w:hAnsi="Arial Nova" w:cs="Arial"/>
                <w:szCs w:val="22"/>
              </w:rPr>
              <w:t>shall be eligible for assistance under IMEF.</w:t>
            </w:r>
            <w:r w:rsidRPr="00285E47">
              <w:rPr>
                <w:rFonts w:ascii="Arial Nova" w:hAnsi="Arial Nova"/>
                <w:szCs w:val="22"/>
              </w:rPr>
              <w:t xml:space="preserve"> </w:t>
            </w:r>
          </w:p>
          <w:p w14:paraId="4E578B29" w14:textId="77777777" w:rsidR="000327C9" w:rsidRPr="00285E47" w:rsidRDefault="000327C9" w:rsidP="00285E47">
            <w:pPr>
              <w:pStyle w:val="ListParagraph"/>
              <w:numPr>
                <w:ilvl w:val="0"/>
                <w:numId w:val="6"/>
              </w:numPr>
              <w:spacing w:line="276" w:lineRule="auto"/>
              <w:contextualSpacing w:val="0"/>
              <w:jc w:val="both"/>
              <w:rPr>
                <w:rFonts w:ascii="Arial Nova" w:hAnsi="Arial Nova" w:cs="Arial"/>
                <w:b/>
                <w:bCs/>
                <w:szCs w:val="22"/>
              </w:rPr>
            </w:pPr>
            <w:r>
              <w:rPr>
                <w:rFonts w:ascii="Arial Nova" w:hAnsi="Arial Nova" w:cs="Arial"/>
                <w:color w:val="000000"/>
                <w:szCs w:val="22"/>
              </w:rPr>
              <w:t>I</w:t>
            </w:r>
            <w:r w:rsidRPr="00285E47">
              <w:rPr>
                <w:rFonts w:ascii="Arial Nova" w:hAnsi="Arial Nova" w:cs="Arial"/>
                <w:color w:val="000000"/>
                <w:szCs w:val="22"/>
              </w:rPr>
              <w:t xml:space="preserve">n existence for </w:t>
            </w:r>
            <w:proofErr w:type="spellStart"/>
            <w:r w:rsidRPr="00285E47">
              <w:rPr>
                <w:rFonts w:ascii="Arial Nova" w:hAnsi="Arial Nova" w:cs="Arial"/>
                <w:color w:val="000000"/>
                <w:szCs w:val="22"/>
              </w:rPr>
              <w:t>atleast</w:t>
            </w:r>
            <w:proofErr w:type="spellEnd"/>
            <w:r w:rsidRPr="00285E47">
              <w:rPr>
                <w:rFonts w:ascii="Arial Nova" w:hAnsi="Arial Nova" w:cs="Arial"/>
                <w:color w:val="000000"/>
                <w:szCs w:val="22"/>
              </w:rPr>
              <w:t xml:space="preserve"> five years and / or a demonstrated track record of running a successful lending programme supporting income-generating activities for at least last three </w:t>
            </w:r>
            <w:proofErr w:type="gramStart"/>
            <w:r w:rsidRPr="00285E47">
              <w:rPr>
                <w:rFonts w:ascii="Arial Nova" w:hAnsi="Arial Nova" w:cs="Arial"/>
                <w:color w:val="000000"/>
                <w:szCs w:val="22"/>
              </w:rPr>
              <w:t>years;</w:t>
            </w:r>
            <w:proofErr w:type="gramEnd"/>
            <w:r w:rsidRPr="00285E47">
              <w:rPr>
                <w:rFonts w:ascii="Arial Nova" w:hAnsi="Arial Nova" w:cs="Arial"/>
                <w:color w:val="000000"/>
                <w:szCs w:val="22"/>
              </w:rPr>
              <w:t xml:space="preserve"> </w:t>
            </w:r>
          </w:p>
          <w:p w14:paraId="43F3D71D" w14:textId="7E8FF4F0" w:rsidR="000327C9" w:rsidRPr="00285E47" w:rsidRDefault="000327C9" w:rsidP="00285E47">
            <w:pPr>
              <w:pStyle w:val="ListParagraph"/>
              <w:numPr>
                <w:ilvl w:val="0"/>
                <w:numId w:val="6"/>
              </w:numPr>
              <w:spacing w:line="276" w:lineRule="auto"/>
              <w:contextualSpacing w:val="0"/>
              <w:jc w:val="both"/>
              <w:rPr>
                <w:rFonts w:ascii="Arial Nova" w:hAnsi="Arial Nova" w:cs="Arial"/>
                <w:b/>
                <w:bCs/>
                <w:szCs w:val="22"/>
              </w:rPr>
            </w:pPr>
            <w:r>
              <w:rPr>
                <w:rFonts w:ascii="Arial Nova" w:hAnsi="Arial Nova" w:cs="Arial"/>
                <w:color w:val="000000"/>
                <w:szCs w:val="22"/>
              </w:rPr>
              <w:t xml:space="preserve">Minimum </w:t>
            </w:r>
            <w:r w:rsidRPr="00285E47">
              <w:rPr>
                <w:rFonts w:ascii="Arial Nova" w:hAnsi="Arial Nova" w:cs="Arial"/>
                <w:color w:val="000000"/>
                <w:szCs w:val="22"/>
              </w:rPr>
              <w:t xml:space="preserve">loan portfolio of at least ₹50 crore. </w:t>
            </w:r>
          </w:p>
          <w:p w14:paraId="47769331" w14:textId="72EDDABF" w:rsidR="000327C9" w:rsidRPr="00285E47" w:rsidRDefault="000327C9" w:rsidP="00285E47">
            <w:pPr>
              <w:pStyle w:val="ListParagraph"/>
              <w:numPr>
                <w:ilvl w:val="0"/>
                <w:numId w:val="6"/>
              </w:numPr>
              <w:spacing w:line="276" w:lineRule="auto"/>
              <w:contextualSpacing w:val="0"/>
              <w:jc w:val="both"/>
              <w:rPr>
                <w:rFonts w:ascii="Arial Nova" w:hAnsi="Arial Nova" w:cs="Arial"/>
                <w:color w:val="000000"/>
                <w:szCs w:val="22"/>
              </w:rPr>
            </w:pPr>
            <w:r>
              <w:rPr>
                <w:rFonts w:ascii="Arial Nova" w:hAnsi="Arial Nova" w:cs="Arial"/>
                <w:color w:val="000000"/>
                <w:szCs w:val="22"/>
              </w:rPr>
              <w:t>A</w:t>
            </w:r>
            <w:r w:rsidRPr="00285E47">
              <w:rPr>
                <w:rFonts w:ascii="Arial Nova" w:hAnsi="Arial Nova" w:cs="Arial"/>
                <w:color w:val="000000"/>
                <w:szCs w:val="22"/>
              </w:rPr>
              <w:t>t least 60% of the portfolio should be in “MUDRA segment” as defined from time to time.</w:t>
            </w:r>
          </w:p>
          <w:p w14:paraId="6026E4B3" w14:textId="77777777" w:rsidR="000327C9" w:rsidRPr="00285E47" w:rsidRDefault="000327C9" w:rsidP="00285E47">
            <w:pPr>
              <w:pStyle w:val="ListParagraph"/>
              <w:numPr>
                <w:ilvl w:val="0"/>
                <w:numId w:val="6"/>
              </w:numPr>
              <w:spacing w:line="276" w:lineRule="auto"/>
              <w:contextualSpacing w:val="0"/>
              <w:jc w:val="both"/>
              <w:rPr>
                <w:rFonts w:ascii="Arial Nova" w:hAnsi="Arial Nova" w:cs="Arial"/>
                <w:szCs w:val="22"/>
              </w:rPr>
            </w:pPr>
            <w:r w:rsidRPr="00285E47">
              <w:rPr>
                <w:rFonts w:ascii="Arial Nova" w:hAnsi="Arial Nova" w:cs="Arial"/>
                <w:bCs/>
                <w:szCs w:val="22"/>
              </w:rPr>
              <w:t xml:space="preserve">Both rated and unrated NBFCs shall be considered for assistance. If rated, the NBFC should have a valid bank loan rating from a SEBI accredited agency not higher than BBB. </w:t>
            </w:r>
          </w:p>
          <w:p w14:paraId="4F209120" w14:textId="61DCEA56" w:rsidR="000327C9" w:rsidRPr="00285E47" w:rsidRDefault="000327C9" w:rsidP="00285E47">
            <w:pPr>
              <w:pStyle w:val="ListParagraph"/>
              <w:numPr>
                <w:ilvl w:val="0"/>
                <w:numId w:val="6"/>
              </w:numPr>
              <w:spacing w:line="276" w:lineRule="auto"/>
              <w:contextualSpacing w:val="0"/>
              <w:jc w:val="both"/>
              <w:rPr>
                <w:rFonts w:ascii="Arial Nova" w:hAnsi="Arial Nova" w:cs="Arial"/>
                <w:bCs/>
                <w:szCs w:val="22"/>
              </w:rPr>
            </w:pPr>
            <w:r>
              <w:rPr>
                <w:rFonts w:ascii="Arial Nova" w:hAnsi="Arial Nova" w:cs="Arial"/>
                <w:bCs/>
                <w:szCs w:val="22"/>
              </w:rPr>
              <w:t>U</w:t>
            </w:r>
            <w:r w:rsidRPr="00285E47">
              <w:rPr>
                <w:rFonts w:ascii="Arial Nova" w:hAnsi="Arial Nova" w:cs="Arial"/>
                <w:bCs/>
                <w:szCs w:val="22"/>
              </w:rPr>
              <w:t xml:space="preserve">nrated NBFCs </w:t>
            </w:r>
            <w:r>
              <w:rPr>
                <w:rFonts w:ascii="Arial Nova" w:hAnsi="Arial Nova" w:cs="Arial"/>
                <w:bCs/>
                <w:szCs w:val="22"/>
              </w:rPr>
              <w:t xml:space="preserve">should have </w:t>
            </w:r>
            <w:r w:rsidRPr="00285E47">
              <w:rPr>
                <w:rFonts w:ascii="Arial Nova" w:hAnsi="Arial Nova" w:cs="Arial"/>
                <w:bCs/>
                <w:szCs w:val="22"/>
              </w:rPr>
              <w:t>satisfactory borrowing arrangements and track record with any Scheduled Commercial Bank / NBFC for a</w:t>
            </w:r>
            <w:r>
              <w:rPr>
                <w:rFonts w:ascii="Arial Nova" w:hAnsi="Arial Nova" w:cs="Arial"/>
                <w:bCs/>
                <w:szCs w:val="22"/>
              </w:rPr>
              <w:t xml:space="preserve">t least </w:t>
            </w:r>
            <w:r w:rsidRPr="00285E47">
              <w:rPr>
                <w:rFonts w:ascii="Arial Nova" w:hAnsi="Arial Nova" w:cs="Arial"/>
                <w:bCs/>
                <w:szCs w:val="22"/>
              </w:rPr>
              <w:t xml:space="preserve">2 years </w:t>
            </w:r>
            <w:r w:rsidRPr="00285E47">
              <w:rPr>
                <w:rFonts w:ascii="Arial Nova" w:hAnsi="Arial Nova" w:cs="Arial"/>
                <w:b/>
                <w:i/>
                <w:iCs/>
                <w:szCs w:val="22"/>
              </w:rPr>
              <w:t>or</w:t>
            </w:r>
            <w:r w:rsidRPr="00285E47">
              <w:rPr>
                <w:rFonts w:ascii="Arial Nova" w:hAnsi="Arial Nova" w:cs="Arial"/>
                <w:bCs/>
                <w:szCs w:val="22"/>
              </w:rPr>
              <w:t xml:space="preserve"> having external institutional / private equity investors. </w:t>
            </w:r>
          </w:p>
          <w:p w14:paraId="2F6C5A42" w14:textId="5E14B477" w:rsidR="000327C9" w:rsidRPr="00037797" w:rsidRDefault="000327C9" w:rsidP="00285E47">
            <w:pPr>
              <w:pStyle w:val="ListParagraph"/>
              <w:numPr>
                <w:ilvl w:val="0"/>
                <w:numId w:val="6"/>
              </w:numPr>
              <w:spacing w:line="276" w:lineRule="auto"/>
              <w:contextualSpacing w:val="0"/>
              <w:jc w:val="both"/>
              <w:rPr>
                <w:rFonts w:ascii="Arial Nova" w:hAnsi="Arial Nova" w:cs="Arial"/>
                <w:bCs/>
                <w:szCs w:val="22"/>
              </w:rPr>
            </w:pPr>
            <w:r>
              <w:rPr>
                <w:rFonts w:ascii="Arial Nova" w:hAnsi="Arial Nova"/>
                <w:szCs w:val="22"/>
              </w:rPr>
              <w:t>Should have</w:t>
            </w:r>
            <w:r w:rsidRPr="00285E47">
              <w:rPr>
                <w:rFonts w:ascii="Arial Nova" w:hAnsi="Arial Nova"/>
                <w:szCs w:val="22"/>
              </w:rPr>
              <w:t xml:space="preserve"> membership of Credit Information Company(</w:t>
            </w:r>
            <w:proofErr w:type="spellStart"/>
            <w:r w:rsidRPr="00285E47">
              <w:rPr>
                <w:rFonts w:ascii="Arial Nova" w:hAnsi="Arial Nova"/>
                <w:szCs w:val="22"/>
              </w:rPr>
              <w:t>ies</w:t>
            </w:r>
            <w:proofErr w:type="spellEnd"/>
            <w:r w:rsidRPr="00285E47">
              <w:rPr>
                <w:rFonts w:ascii="Arial Nova" w:hAnsi="Arial Nova"/>
                <w:szCs w:val="22"/>
              </w:rPr>
              <w:t>) / Credit Bureau(s)</w:t>
            </w:r>
          </w:p>
          <w:p w14:paraId="57D6380B" w14:textId="664879AC" w:rsidR="000327C9" w:rsidRPr="00285E47" w:rsidRDefault="000327C9" w:rsidP="00285E47">
            <w:pPr>
              <w:pStyle w:val="ListParagraph"/>
              <w:numPr>
                <w:ilvl w:val="0"/>
                <w:numId w:val="6"/>
              </w:numPr>
              <w:spacing w:line="276" w:lineRule="auto"/>
              <w:contextualSpacing w:val="0"/>
              <w:jc w:val="both"/>
              <w:rPr>
                <w:rFonts w:ascii="Arial Nova" w:hAnsi="Arial Nova" w:cs="Arial"/>
                <w:bCs/>
                <w:szCs w:val="22"/>
              </w:rPr>
            </w:pPr>
            <w:r w:rsidRPr="00037797">
              <w:rPr>
                <w:rFonts w:ascii="Arial Nova" w:hAnsi="Arial Nova"/>
                <w:color w:val="000000"/>
              </w:rPr>
              <w:t>NBFC should have Capital Adequacy Ratio of minimum 15%</w:t>
            </w:r>
          </w:p>
          <w:p w14:paraId="2BC3FAD8" w14:textId="77777777" w:rsidR="000327C9" w:rsidRPr="00285E47" w:rsidRDefault="000327C9" w:rsidP="00285E47">
            <w:pPr>
              <w:jc w:val="center"/>
              <w:rPr>
                <w:rFonts w:ascii="Arial Nova" w:hAnsi="Arial Nova"/>
                <w:b/>
                <w:bCs/>
                <w:u w:val="single"/>
              </w:rPr>
            </w:pPr>
          </w:p>
        </w:tc>
      </w:tr>
      <w:tr w:rsidR="000327C9" w:rsidRPr="00285E47" w14:paraId="67344765" w14:textId="77777777" w:rsidTr="000327C9">
        <w:trPr>
          <w:jc w:val="center"/>
        </w:trPr>
        <w:tc>
          <w:tcPr>
            <w:tcW w:w="675" w:type="dxa"/>
          </w:tcPr>
          <w:p w14:paraId="575E4297" w14:textId="4F362F3E" w:rsidR="000327C9" w:rsidRPr="000327C9" w:rsidRDefault="000327C9" w:rsidP="000327C9">
            <w:pPr>
              <w:jc w:val="center"/>
              <w:rPr>
                <w:rFonts w:ascii="Arial Nova" w:hAnsi="Arial Nova"/>
                <w:b/>
                <w:bCs/>
              </w:rPr>
            </w:pPr>
            <w:r w:rsidRPr="000327C9">
              <w:rPr>
                <w:rFonts w:ascii="Arial Nova" w:hAnsi="Arial Nova"/>
                <w:b/>
                <w:bCs/>
              </w:rPr>
              <w:t>2</w:t>
            </w:r>
          </w:p>
        </w:tc>
        <w:tc>
          <w:tcPr>
            <w:tcW w:w="8676" w:type="dxa"/>
            <w:gridSpan w:val="2"/>
          </w:tcPr>
          <w:p w14:paraId="767F0C4E" w14:textId="10E90B2C" w:rsidR="000327C9" w:rsidRDefault="000327C9" w:rsidP="00037797">
            <w:pPr>
              <w:jc w:val="both"/>
              <w:rPr>
                <w:rFonts w:ascii="Arial Nova" w:hAnsi="Arial Nova"/>
                <w:b/>
                <w:bCs/>
                <w:u w:val="single"/>
              </w:rPr>
            </w:pPr>
            <w:r>
              <w:rPr>
                <w:rFonts w:ascii="Arial Nova" w:hAnsi="Arial Nova"/>
                <w:b/>
                <w:bCs/>
                <w:u w:val="single"/>
              </w:rPr>
              <w:t>Benchmark norms :</w:t>
            </w:r>
          </w:p>
          <w:tbl>
            <w:tblPr>
              <w:tblW w:w="5103"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268"/>
            </w:tblGrid>
            <w:tr w:rsidR="000327C9" w:rsidRPr="009E7915" w14:paraId="3802B9CE" w14:textId="77777777" w:rsidTr="000327C9">
              <w:trPr>
                <w:tblHeader/>
              </w:trPr>
              <w:tc>
                <w:tcPr>
                  <w:tcW w:w="283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307F205" w14:textId="77777777" w:rsidR="000327C9" w:rsidRPr="00037797" w:rsidRDefault="000327C9" w:rsidP="00037797">
                  <w:pPr>
                    <w:pStyle w:val="DefaultText"/>
                    <w:spacing w:line="276" w:lineRule="auto"/>
                    <w:jc w:val="center"/>
                    <w:rPr>
                      <w:rFonts w:ascii="Arial Nova" w:hAnsi="Arial Nova" w:cstheme="minorHAnsi"/>
                      <w:b/>
                      <w:bCs/>
                      <w:sz w:val="22"/>
                      <w:szCs w:val="22"/>
                    </w:rPr>
                  </w:pPr>
                  <w:r w:rsidRPr="00037797">
                    <w:rPr>
                      <w:rFonts w:ascii="Arial Nova" w:hAnsi="Arial Nova" w:cstheme="minorHAnsi"/>
                      <w:b/>
                      <w:bCs/>
                      <w:sz w:val="22"/>
                      <w:szCs w:val="22"/>
                    </w:rPr>
                    <w:t>Parameter</w:t>
                  </w:r>
                </w:p>
              </w:tc>
              <w:tc>
                <w:tcPr>
                  <w:tcW w:w="2268"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2DC49A9" w14:textId="77777777" w:rsidR="000327C9" w:rsidRPr="00037797" w:rsidRDefault="000327C9" w:rsidP="00037797">
                  <w:pPr>
                    <w:pStyle w:val="DefaultText"/>
                    <w:spacing w:line="276" w:lineRule="auto"/>
                    <w:jc w:val="center"/>
                    <w:rPr>
                      <w:rFonts w:ascii="Arial Nova" w:hAnsi="Arial Nova" w:cstheme="minorHAnsi"/>
                      <w:b/>
                      <w:bCs/>
                      <w:sz w:val="22"/>
                      <w:szCs w:val="22"/>
                    </w:rPr>
                  </w:pPr>
                  <w:r w:rsidRPr="00037797">
                    <w:rPr>
                      <w:rFonts w:ascii="Arial Nova" w:hAnsi="Arial Nova" w:cstheme="minorHAnsi"/>
                      <w:b/>
                      <w:bCs/>
                      <w:sz w:val="22"/>
                      <w:szCs w:val="22"/>
                    </w:rPr>
                    <w:t>Norm</w:t>
                  </w:r>
                </w:p>
              </w:tc>
            </w:tr>
            <w:tr w:rsidR="000327C9" w:rsidRPr="009E7915" w14:paraId="4C7A37AF" w14:textId="77777777" w:rsidTr="00037797">
              <w:tc>
                <w:tcPr>
                  <w:tcW w:w="2835" w:type="dxa"/>
                  <w:tcBorders>
                    <w:top w:val="single" w:sz="4" w:space="0" w:color="000000"/>
                    <w:left w:val="single" w:sz="4" w:space="0" w:color="000000"/>
                    <w:bottom w:val="single" w:sz="4" w:space="0" w:color="000000"/>
                    <w:right w:val="single" w:sz="4" w:space="0" w:color="000000"/>
                  </w:tcBorders>
                </w:tcPr>
                <w:p w14:paraId="5B9EE369" w14:textId="77777777" w:rsidR="000327C9" w:rsidRPr="00037797" w:rsidRDefault="000327C9" w:rsidP="00037797">
                  <w:pPr>
                    <w:pStyle w:val="DefaultText"/>
                    <w:spacing w:line="276" w:lineRule="auto"/>
                    <w:jc w:val="both"/>
                    <w:rPr>
                      <w:rFonts w:ascii="Arial Nova" w:hAnsi="Arial Nova" w:cstheme="minorHAnsi"/>
                      <w:sz w:val="22"/>
                      <w:szCs w:val="22"/>
                    </w:rPr>
                  </w:pPr>
                  <w:r w:rsidRPr="00037797">
                    <w:rPr>
                      <w:rFonts w:ascii="Arial Nova" w:hAnsi="Arial Nova" w:cstheme="minorHAnsi"/>
                      <w:sz w:val="22"/>
                      <w:szCs w:val="22"/>
                    </w:rPr>
                    <w:t xml:space="preserve">DER </w:t>
                  </w:r>
                </w:p>
              </w:tc>
              <w:tc>
                <w:tcPr>
                  <w:tcW w:w="2268" w:type="dxa"/>
                  <w:tcBorders>
                    <w:top w:val="single" w:sz="4" w:space="0" w:color="000000"/>
                    <w:left w:val="single" w:sz="4" w:space="0" w:color="000000"/>
                    <w:bottom w:val="single" w:sz="4" w:space="0" w:color="000000"/>
                    <w:right w:val="single" w:sz="4" w:space="0" w:color="000000"/>
                  </w:tcBorders>
                </w:tcPr>
                <w:p w14:paraId="7987093C" w14:textId="77777777" w:rsidR="000327C9" w:rsidRPr="00037797" w:rsidRDefault="000327C9" w:rsidP="00037797">
                  <w:pPr>
                    <w:pStyle w:val="DefaultText"/>
                    <w:spacing w:line="276" w:lineRule="auto"/>
                    <w:jc w:val="center"/>
                    <w:rPr>
                      <w:rFonts w:ascii="Arial Nova" w:hAnsi="Arial Nova" w:cstheme="minorHAnsi"/>
                      <w:sz w:val="22"/>
                      <w:szCs w:val="22"/>
                    </w:rPr>
                  </w:pPr>
                  <w:r w:rsidRPr="00037797">
                    <w:rPr>
                      <w:rFonts w:ascii="Arial Nova" w:hAnsi="Arial Nova" w:cstheme="minorHAnsi"/>
                      <w:sz w:val="22"/>
                      <w:szCs w:val="22"/>
                    </w:rPr>
                    <w:t>10:1</w:t>
                  </w:r>
                </w:p>
              </w:tc>
            </w:tr>
            <w:tr w:rsidR="000327C9" w:rsidRPr="009E7915" w14:paraId="1FE53BFC" w14:textId="77777777" w:rsidTr="00037797">
              <w:trPr>
                <w:trHeight w:val="205"/>
              </w:trPr>
              <w:tc>
                <w:tcPr>
                  <w:tcW w:w="2835" w:type="dxa"/>
                  <w:tcBorders>
                    <w:top w:val="single" w:sz="4" w:space="0" w:color="000000"/>
                    <w:left w:val="single" w:sz="4" w:space="0" w:color="000000"/>
                    <w:bottom w:val="single" w:sz="4" w:space="0" w:color="000000"/>
                    <w:right w:val="single" w:sz="4" w:space="0" w:color="000000"/>
                  </w:tcBorders>
                </w:tcPr>
                <w:p w14:paraId="07B71C34" w14:textId="77777777" w:rsidR="000327C9" w:rsidRPr="00037797" w:rsidRDefault="000327C9" w:rsidP="00037797">
                  <w:pPr>
                    <w:pStyle w:val="DefaultText"/>
                    <w:spacing w:line="276" w:lineRule="auto"/>
                    <w:jc w:val="both"/>
                    <w:rPr>
                      <w:rFonts w:ascii="Arial Nova" w:hAnsi="Arial Nova" w:cstheme="minorHAnsi"/>
                      <w:sz w:val="22"/>
                      <w:szCs w:val="22"/>
                    </w:rPr>
                  </w:pPr>
                  <w:r w:rsidRPr="00037797">
                    <w:rPr>
                      <w:rFonts w:ascii="Arial Nova" w:hAnsi="Arial Nova" w:cstheme="minorHAnsi"/>
                      <w:sz w:val="22"/>
                      <w:szCs w:val="22"/>
                    </w:rPr>
                    <w:t>CRAR</w:t>
                  </w:r>
                </w:p>
              </w:tc>
              <w:tc>
                <w:tcPr>
                  <w:tcW w:w="2268" w:type="dxa"/>
                  <w:tcBorders>
                    <w:top w:val="single" w:sz="4" w:space="0" w:color="000000"/>
                    <w:left w:val="single" w:sz="4" w:space="0" w:color="000000"/>
                    <w:bottom w:val="single" w:sz="4" w:space="0" w:color="000000"/>
                    <w:right w:val="single" w:sz="4" w:space="0" w:color="000000"/>
                  </w:tcBorders>
                </w:tcPr>
                <w:p w14:paraId="16C1B263" w14:textId="77777777" w:rsidR="000327C9" w:rsidRPr="00037797" w:rsidRDefault="000327C9" w:rsidP="00037797">
                  <w:pPr>
                    <w:pStyle w:val="DefaultText"/>
                    <w:spacing w:line="276" w:lineRule="auto"/>
                    <w:jc w:val="center"/>
                    <w:rPr>
                      <w:rFonts w:ascii="Arial Nova" w:hAnsi="Arial Nova" w:cstheme="minorHAnsi"/>
                      <w:sz w:val="22"/>
                      <w:szCs w:val="22"/>
                    </w:rPr>
                  </w:pPr>
                  <w:r w:rsidRPr="00037797">
                    <w:rPr>
                      <w:rFonts w:ascii="Arial Nova" w:hAnsi="Arial Nova" w:cstheme="minorHAnsi"/>
                      <w:sz w:val="22"/>
                      <w:szCs w:val="22"/>
                    </w:rPr>
                    <w:t>15%</w:t>
                  </w:r>
                </w:p>
              </w:tc>
            </w:tr>
            <w:tr w:rsidR="000327C9" w:rsidRPr="009E7915" w14:paraId="2FF63BED" w14:textId="77777777" w:rsidTr="00037797">
              <w:trPr>
                <w:trHeight w:val="207"/>
              </w:trPr>
              <w:tc>
                <w:tcPr>
                  <w:tcW w:w="2835" w:type="dxa"/>
                  <w:tcBorders>
                    <w:top w:val="single" w:sz="4" w:space="0" w:color="000000"/>
                    <w:left w:val="single" w:sz="4" w:space="0" w:color="000000"/>
                    <w:bottom w:val="single" w:sz="4" w:space="0" w:color="000000"/>
                    <w:right w:val="single" w:sz="4" w:space="0" w:color="000000"/>
                  </w:tcBorders>
                </w:tcPr>
                <w:p w14:paraId="383AF8FB" w14:textId="041BEABB" w:rsidR="000327C9" w:rsidRPr="00037797" w:rsidRDefault="000327C9" w:rsidP="00037797">
                  <w:pPr>
                    <w:pStyle w:val="DefaultText"/>
                    <w:spacing w:line="276" w:lineRule="auto"/>
                    <w:jc w:val="both"/>
                    <w:rPr>
                      <w:rFonts w:ascii="Arial Nova" w:hAnsi="Arial Nova" w:cstheme="minorHAnsi"/>
                      <w:sz w:val="22"/>
                      <w:szCs w:val="22"/>
                    </w:rPr>
                  </w:pPr>
                  <w:r w:rsidRPr="00037797">
                    <w:rPr>
                      <w:rFonts w:ascii="Arial Nova" w:hAnsi="Arial Nova" w:cstheme="minorHAnsi"/>
                      <w:sz w:val="22"/>
                      <w:szCs w:val="22"/>
                    </w:rPr>
                    <w:t>PAR &gt; 90 days (AUM)</w:t>
                  </w:r>
                </w:p>
              </w:tc>
              <w:tc>
                <w:tcPr>
                  <w:tcW w:w="2268" w:type="dxa"/>
                  <w:tcBorders>
                    <w:top w:val="single" w:sz="4" w:space="0" w:color="000000"/>
                    <w:left w:val="single" w:sz="4" w:space="0" w:color="000000"/>
                    <w:bottom w:val="single" w:sz="4" w:space="0" w:color="000000"/>
                    <w:right w:val="single" w:sz="4" w:space="0" w:color="000000"/>
                  </w:tcBorders>
                </w:tcPr>
                <w:p w14:paraId="496E8522" w14:textId="77777777" w:rsidR="000327C9" w:rsidRPr="00037797" w:rsidRDefault="000327C9" w:rsidP="00037797">
                  <w:pPr>
                    <w:pStyle w:val="DefaultText"/>
                    <w:spacing w:line="276" w:lineRule="auto"/>
                    <w:jc w:val="center"/>
                    <w:rPr>
                      <w:rFonts w:ascii="Arial Nova" w:hAnsi="Arial Nova" w:cstheme="minorHAnsi"/>
                      <w:sz w:val="22"/>
                      <w:szCs w:val="22"/>
                    </w:rPr>
                  </w:pPr>
                  <w:r w:rsidRPr="00037797">
                    <w:rPr>
                      <w:rFonts w:ascii="Arial Nova" w:hAnsi="Arial Nova" w:cstheme="minorHAnsi"/>
                      <w:sz w:val="22"/>
                      <w:szCs w:val="22"/>
                    </w:rPr>
                    <w:t>5%</w:t>
                  </w:r>
                </w:p>
              </w:tc>
            </w:tr>
            <w:tr w:rsidR="000327C9" w:rsidRPr="009E7915" w14:paraId="17F36FE4" w14:textId="77777777" w:rsidTr="00037797">
              <w:tc>
                <w:tcPr>
                  <w:tcW w:w="2835" w:type="dxa"/>
                  <w:tcBorders>
                    <w:top w:val="single" w:sz="4" w:space="0" w:color="000000"/>
                    <w:left w:val="single" w:sz="4" w:space="0" w:color="000000"/>
                    <w:bottom w:val="single" w:sz="4" w:space="0" w:color="000000"/>
                    <w:right w:val="single" w:sz="4" w:space="0" w:color="000000"/>
                  </w:tcBorders>
                </w:tcPr>
                <w:p w14:paraId="1465AD05" w14:textId="77777777" w:rsidR="000327C9" w:rsidRPr="00037797" w:rsidRDefault="000327C9" w:rsidP="00037797">
                  <w:pPr>
                    <w:pStyle w:val="DefaultText"/>
                    <w:spacing w:line="276" w:lineRule="auto"/>
                    <w:rPr>
                      <w:rFonts w:ascii="Arial Nova" w:hAnsi="Arial Nova" w:cstheme="minorHAnsi"/>
                      <w:sz w:val="22"/>
                      <w:szCs w:val="22"/>
                    </w:rPr>
                  </w:pPr>
                  <w:r w:rsidRPr="00037797">
                    <w:rPr>
                      <w:rFonts w:ascii="Arial Nova" w:hAnsi="Arial Nova" w:cstheme="minorHAnsi"/>
                      <w:sz w:val="22"/>
                      <w:szCs w:val="22"/>
                    </w:rPr>
                    <w:t>OSS*</w:t>
                  </w:r>
                </w:p>
              </w:tc>
              <w:tc>
                <w:tcPr>
                  <w:tcW w:w="2268" w:type="dxa"/>
                  <w:tcBorders>
                    <w:top w:val="single" w:sz="4" w:space="0" w:color="000000"/>
                    <w:left w:val="single" w:sz="4" w:space="0" w:color="000000"/>
                    <w:bottom w:val="single" w:sz="4" w:space="0" w:color="000000"/>
                    <w:right w:val="single" w:sz="4" w:space="0" w:color="000000"/>
                  </w:tcBorders>
                </w:tcPr>
                <w:p w14:paraId="1BAB5BF4" w14:textId="01149DC0" w:rsidR="000327C9" w:rsidRPr="00037797" w:rsidRDefault="000327C9" w:rsidP="00037797">
                  <w:pPr>
                    <w:pStyle w:val="DefaultText"/>
                    <w:spacing w:line="276" w:lineRule="auto"/>
                    <w:jc w:val="center"/>
                    <w:rPr>
                      <w:rFonts w:ascii="Arial Nova" w:hAnsi="Arial Nova" w:cstheme="minorHAnsi"/>
                      <w:sz w:val="22"/>
                      <w:szCs w:val="22"/>
                    </w:rPr>
                  </w:pPr>
                  <w:r w:rsidRPr="00037797">
                    <w:rPr>
                      <w:rFonts w:ascii="Arial Nova" w:hAnsi="Arial Nova" w:cstheme="minorHAnsi"/>
                      <w:sz w:val="22"/>
                      <w:szCs w:val="22"/>
                    </w:rPr>
                    <w:t>100%</w:t>
                  </w:r>
                </w:p>
              </w:tc>
            </w:tr>
            <w:tr w:rsidR="000327C9" w:rsidRPr="009E7915" w14:paraId="430F9920" w14:textId="77777777" w:rsidTr="00037797">
              <w:trPr>
                <w:trHeight w:val="237"/>
              </w:trPr>
              <w:tc>
                <w:tcPr>
                  <w:tcW w:w="2835" w:type="dxa"/>
                  <w:tcBorders>
                    <w:top w:val="single" w:sz="4" w:space="0" w:color="000000"/>
                    <w:left w:val="single" w:sz="4" w:space="0" w:color="000000"/>
                    <w:bottom w:val="single" w:sz="4" w:space="0" w:color="000000"/>
                    <w:right w:val="single" w:sz="4" w:space="0" w:color="000000"/>
                  </w:tcBorders>
                </w:tcPr>
                <w:p w14:paraId="711845E8" w14:textId="77777777" w:rsidR="000327C9" w:rsidRPr="00037797" w:rsidRDefault="000327C9" w:rsidP="00037797">
                  <w:pPr>
                    <w:pStyle w:val="DefaultText"/>
                    <w:spacing w:line="276" w:lineRule="auto"/>
                    <w:jc w:val="both"/>
                    <w:rPr>
                      <w:rFonts w:ascii="Arial Nova" w:hAnsi="Arial Nova" w:cstheme="minorHAnsi"/>
                      <w:sz w:val="22"/>
                      <w:szCs w:val="22"/>
                    </w:rPr>
                  </w:pPr>
                  <w:r w:rsidRPr="00037797">
                    <w:rPr>
                      <w:rFonts w:ascii="Arial Nova" w:hAnsi="Arial Nova" w:cstheme="minorHAnsi"/>
                      <w:sz w:val="22"/>
                      <w:szCs w:val="22"/>
                    </w:rPr>
                    <w:t xml:space="preserve">MFI rating </w:t>
                  </w:r>
                </w:p>
              </w:tc>
              <w:tc>
                <w:tcPr>
                  <w:tcW w:w="2268" w:type="dxa"/>
                  <w:tcBorders>
                    <w:top w:val="single" w:sz="4" w:space="0" w:color="000000"/>
                    <w:left w:val="single" w:sz="4" w:space="0" w:color="000000"/>
                    <w:bottom w:val="single" w:sz="4" w:space="0" w:color="000000"/>
                    <w:right w:val="single" w:sz="4" w:space="0" w:color="000000"/>
                  </w:tcBorders>
                </w:tcPr>
                <w:p w14:paraId="4B3ECB71" w14:textId="77777777" w:rsidR="000327C9" w:rsidRPr="00037797" w:rsidRDefault="000327C9" w:rsidP="00037797">
                  <w:pPr>
                    <w:pStyle w:val="DefaultText"/>
                    <w:spacing w:line="276" w:lineRule="auto"/>
                    <w:jc w:val="center"/>
                    <w:rPr>
                      <w:rFonts w:ascii="Arial Nova" w:hAnsi="Arial Nova" w:cstheme="minorHAnsi"/>
                      <w:sz w:val="22"/>
                      <w:szCs w:val="22"/>
                    </w:rPr>
                  </w:pPr>
                  <w:r w:rsidRPr="00037797">
                    <w:rPr>
                      <w:rFonts w:ascii="Arial Nova" w:hAnsi="Arial Nova" w:cstheme="minorHAnsi"/>
                      <w:b/>
                      <w:bCs/>
                      <w:sz w:val="22"/>
                      <w:szCs w:val="22"/>
                    </w:rPr>
                    <w:t>‘MfR5’</w:t>
                  </w:r>
                </w:p>
              </w:tc>
            </w:tr>
          </w:tbl>
          <w:p w14:paraId="244A74F5" w14:textId="77777777" w:rsidR="000327C9" w:rsidRDefault="000327C9" w:rsidP="00037797">
            <w:pPr>
              <w:jc w:val="both"/>
              <w:rPr>
                <w:rFonts w:ascii="Arial Nova" w:hAnsi="Arial Nova"/>
                <w:b/>
                <w:bCs/>
                <w:u w:val="single"/>
              </w:rPr>
            </w:pPr>
          </w:p>
          <w:p w14:paraId="73B21C94" w14:textId="62F3988D" w:rsidR="000327C9" w:rsidRPr="00285E47" w:rsidRDefault="000327C9" w:rsidP="00037797">
            <w:pPr>
              <w:jc w:val="both"/>
              <w:rPr>
                <w:rFonts w:ascii="Arial Nova" w:hAnsi="Arial Nova"/>
                <w:b/>
                <w:bCs/>
                <w:u w:val="single"/>
              </w:rPr>
            </w:pPr>
          </w:p>
        </w:tc>
      </w:tr>
      <w:tr w:rsidR="000327C9" w:rsidRPr="00285E47" w14:paraId="1A7CA2F9" w14:textId="77777777" w:rsidTr="000327C9">
        <w:trPr>
          <w:jc w:val="center"/>
        </w:trPr>
        <w:tc>
          <w:tcPr>
            <w:tcW w:w="675" w:type="dxa"/>
          </w:tcPr>
          <w:p w14:paraId="2CFEB301" w14:textId="6CBF473F" w:rsidR="000327C9" w:rsidRPr="000327C9" w:rsidRDefault="000327C9" w:rsidP="000327C9">
            <w:pPr>
              <w:jc w:val="center"/>
              <w:rPr>
                <w:rFonts w:ascii="Arial Nova" w:hAnsi="Arial Nova"/>
                <w:b/>
                <w:bCs/>
              </w:rPr>
            </w:pPr>
            <w:r w:rsidRPr="000327C9">
              <w:rPr>
                <w:rFonts w:ascii="Arial Nova" w:hAnsi="Arial Nova"/>
                <w:b/>
                <w:bCs/>
              </w:rPr>
              <w:t>3</w:t>
            </w:r>
          </w:p>
        </w:tc>
        <w:tc>
          <w:tcPr>
            <w:tcW w:w="8676" w:type="dxa"/>
            <w:gridSpan w:val="2"/>
          </w:tcPr>
          <w:p w14:paraId="1BD1B154" w14:textId="562D901E" w:rsidR="000327C9" w:rsidRDefault="000327C9" w:rsidP="00037797">
            <w:pPr>
              <w:jc w:val="both"/>
              <w:rPr>
                <w:rFonts w:ascii="Arial Nova" w:hAnsi="Arial Nova"/>
                <w:b/>
                <w:bCs/>
                <w:u w:val="single"/>
              </w:rPr>
            </w:pPr>
            <w:r>
              <w:rPr>
                <w:rFonts w:ascii="Arial Nova" w:hAnsi="Arial Nova"/>
                <w:b/>
                <w:bCs/>
                <w:u w:val="single"/>
              </w:rPr>
              <w:t>Type of instruments:</w:t>
            </w:r>
          </w:p>
          <w:p w14:paraId="4ECA47DF" w14:textId="205F7DF8" w:rsidR="000327C9" w:rsidRDefault="000327C9" w:rsidP="00037797">
            <w:pPr>
              <w:pStyle w:val="ListParagraph"/>
              <w:jc w:val="both"/>
              <w:rPr>
                <w:rFonts w:ascii="Arial Nova" w:hAnsi="Arial Nova"/>
                <w:b/>
                <w:bCs/>
                <w:u w:val="single"/>
              </w:rPr>
            </w:pPr>
          </w:p>
          <w:tbl>
            <w:tblPr>
              <w:tblStyle w:val="TableGrid"/>
              <w:tblW w:w="0" w:type="auto"/>
              <w:tblInd w:w="360" w:type="dxa"/>
              <w:tblLook w:val="04A0" w:firstRow="1" w:lastRow="0" w:firstColumn="1" w:lastColumn="0" w:noHBand="0" w:noVBand="1"/>
            </w:tblPr>
            <w:tblGrid>
              <w:gridCol w:w="2951"/>
              <w:gridCol w:w="4961"/>
            </w:tblGrid>
            <w:tr w:rsidR="000327C9" w:rsidRPr="00037797" w14:paraId="602A91DE" w14:textId="4C4B715C" w:rsidTr="000327C9">
              <w:tc>
                <w:tcPr>
                  <w:tcW w:w="2951" w:type="dxa"/>
                </w:tcPr>
                <w:p w14:paraId="154055DC" w14:textId="1233A86C" w:rsidR="000327C9" w:rsidRPr="000327C9" w:rsidRDefault="000327C9" w:rsidP="000327C9">
                  <w:pPr>
                    <w:jc w:val="center"/>
                    <w:rPr>
                      <w:rFonts w:ascii="Arial Nova" w:hAnsi="Arial Nova"/>
                      <w:b/>
                      <w:bCs/>
                      <w:u w:val="single"/>
                    </w:rPr>
                  </w:pPr>
                  <w:r w:rsidRPr="000327C9">
                    <w:rPr>
                      <w:rFonts w:ascii="Arial Nova" w:hAnsi="Arial Nova"/>
                      <w:b/>
                      <w:bCs/>
                      <w:u w:val="single"/>
                    </w:rPr>
                    <w:t>Constitution</w:t>
                  </w:r>
                </w:p>
              </w:tc>
              <w:tc>
                <w:tcPr>
                  <w:tcW w:w="4961" w:type="dxa"/>
                </w:tcPr>
                <w:p w14:paraId="3E6CA14C" w14:textId="0F2DEE18" w:rsidR="000327C9" w:rsidRPr="000327C9" w:rsidRDefault="000327C9" w:rsidP="000327C9">
                  <w:pPr>
                    <w:jc w:val="center"/>
                    <w:rPr>
                      <w:rFonts w:ascii="Arial Nova" w:hAnsi="Arial Nova"/>
                      <w:b/>
                      <w:bCs/>
                      <w:u w:val="single"/>
                    </w:rPr>
                  </w:pPr>
                  <w:r>
                    <w:rPr>
                      <w:rFonts w:ascii="Arial Nova" w:hAnsi="Arial Nova"/>
                      <w:b/>
                      <w:bCs/>
                      <w:u w:val="single"/>
                    </w:rPr>
                    <w:t>Instrument</w:t>
                  </w:r>
                </w:p>
              </w:tc>
            </w:tr>
            <w:tr w:rsidR="000327C9" w:rsidRPr="00037797" w14:paraId="1E35F5E1" w14:textId="4F377C2D" w:rsidTr="000327C9">
              <w:tc>
                <w:tcPr>
                  <w:tcW w:w="2951" w:type="dxa"/>
                </w:tcPr>
                <w:p w14:paraId="3CC35FFF" w14:textId="77777777" w:rsidR="000327C9" w:rsidRDefault="000327C9" w:rsidP="000327C9">
                  <w:pPr>
                    <w:jc w:val="center"/>
                    <w:rPr>
                      <w:rFonts w:ascii="Arial Nova" w:hAnsi="Arial Nova"/>
                    </w:rPr>
                  </w:pPr>
                  <w:r>
                    <w:rPr>
                      <w:rFonts w:ascii="Arial Nova" w:hAnsi="Arial Nova"/>
                    </w:rPr>
                    <w:t xml:space="preserve">Societies / Trusts / </w:t>
                  </w:r>
                </w:p>
                <w:p w14:paraId="6D923CDE" w14:textId="1BE50A28" w:rsidR="000327C9" w:rsidRPr="000327C9" w:rsidRDefault="000327C9" w:rsidP="000327C9">
                  <w:pPr>
                    <w:jc w:val="center"/>
                    <w:rPr>
                      <w:rFonts w:ascii="Arial Nova" w:hAnsi="Arial Nova"/>
                    </w:rPr>
                  </w:pPr>
                  <w:r w:rsidRPr="000327C9">
                    <w:rPr>
                      <w:rFonts w:ascii="Arial Nova" w:hAnsi="Arial Nova"/>
                    </w:rPr>
                    <w:t>Section 8 compan</w:t>
                  </w:r>
                  <w:r>
                    <w:rPr>
                      <w:rFonts w:ascii="Arial Nova" w:hAnsi="Arial Nova"/>
                    </w:rPr>
                    <w:t>y etc.</w:t>
                  </w:r>
                </w:p>
              </w:tc>
              <w:tc>
                <w:tcPr>
                  <w:tcW w:w="4961" w:type="dxa"/>
                </w:tcPr>
                <w:p w14:paraId="5F66F35D" w14:textId="7013D9F2" w:rsidR="000327C9" w:rsidRPr="000327C9" w:rsidRDefault="000327C9" w:rsidP="000327C9">
                  <w:pPr>
                    <w:jc w:val="center"/>
                    <w:rPr>
                      <w:rFonts w:ascii="Arial Nova" w:hAnsi="Arial Nova"/>
                    </w:rPr>
                  </w:pPr>
                  <w:r w:rsidRPr="000327C9">
                    <w:rPr>
                      <w:rFonts w:ascii="Arial Nova" w:hAnsi="Arial Nova"/>
                    </w:rPr>
                    <w:t>Subordinated Debt</w:t>
                  </w:r>
                </w:p>
              </w:tc>
            </w:tr>
            <w:tr w:rsidR="000327C9" w:rsidRPr="00037797" w14:paraId="110980C2" w14:textId="0942DB91" w:rsidTr="000327C9">
              <w:tc>
                <w:tcPr>
                  <w:tcW w:w="2951" w:type="dxa"/>
                  <w:vMerge w:val="restart"/>
                </w:tcPr>
                <w:p w14:paraId="3E324457" w14:textId="77777777" w:rsidR="000327C9" w:rsidRDefault="000327C9" w:rsidP="000327C9">
                  <w:pPr>
                    <w:jc w:val="center"/>
                    <w:rPr>
                      <w:rFonts w:ascii="Arial Nova" w:hAnsi="Arial Nova"/>
                    </w:rPr>
                  </w:pPr>
                </w:p>
                <w:p w14:paraId="76AF5B6E" w14:textId="77777777" w:rsidR="000327C9" w:rsidRDefault="000327C9" w:rsidP="000327C9">
                  <w:pPr>
                    <w:jc w:val="center"/>
                    <w:rPr>
                      <w:rFonts w:ascii="Arial Nova" w:hAnsi="Arial Nova"/>
                    </w:rPr>
                  </w:pPr>
                </w:p>
                <w:p w14:paraId="3A5CB145" w14:textId="297488C3" w:rsidR="000327C9" w:rsidRPr="000327C9" w:rsidRDefault="000327C9" w:rsidP="000327C9">
                  <w:pPr>
                    <w:jc w:val="center"/>
                    <w:rPr>
                      <w:rFonts w:ascii="Arial Nova" w:hAnsi="Arial Nova"/>
                    </w:rPr>
                  </w:pPr>
                  <w:r w:rsidRPr="000327C9">
                    <w:rPr>
                      <w:rFonts w:ascii="Arial Nova" w:hAnsi="Arial Nova"/>
                    </w:rPr>
                    <w:t>NBFC MFIs &amp; NBFCs</w:t>
                  </w:r>
                </w:p>
              </w:tc>
              <w:tc>
                <w:tcPr>
                  <w:tcW w:w="4961" w:type="dxa"/>
                </w:tcPr>
                <w:p w14:paraId="26FF789F" w14:textId="449D00D7" w:rsidR="000327C9" w:rsidRPr="000327C9" w:rsidRDefault="000327C9" w:rsidP="000327C9">
                  <w:pPr>
                    <w:jc w:val="center"/>
                    <w:rPr>
                      <w:rFonts w:ascii="Arial Nova" w:hAnsi="Arial Nova"/>
                    </w:rPr>
                  </w:pPr>
                  <w:r w:rsidRPr="00037797">
                    <w:rPr>
                      <w:rFonts w:ascii="Arial Nova" w:hAnsi="Arial Nova"/>
                    </w:rPr>
                    <w:t>Optionally Convertible Preference Shares (OCPS)</w:t>
                  </w:r>
                </w:p>
              </w:tc>
            </w:tr>
            <w:tr w:rsidR="000327C9" w:rsidRPr="00037797" w14:paraId="05A94002" w14:textId="19B3ABBB" w:rsidTr="000327C9">
              <w:tc>
                <w:tcPr>
                  <w:tcW w:w="2951" w:type="dxa"/>
                  <w:vMerge/>
                </w:tcPr>
                <w:p w14:paraId="1F186361" w14:textId="77777777" w:rsidR="000327C9" w:rsidRPr="00037797" w:rsidRDefault="000327C9" w:rsidP="000327C9">
                  <w:pPr>
                    <w:jc w:val="both"/>
                    <w:rPr>
                      <w:rFonts w:ascii="Arial Nova" w:hAnsi="Arial Nova"/>
                      <w:u w:val="single"/>
                    </w:rPr>
                  </w:pPr>
                </w:p>
              </w:tc>
              <w:tc>
                <w:tcPr>
                  <w:tcW w:w="4961" w:type="dxa"/>
                  <w:vAlign w:val="center"/>
                </w:tcPr>
                <w:p w14:paraId="29FEC5E1" w14:textId="611AD47C" w:rsidR="000327C9" w:rsidRPr="00037797" w:rsidRDefault="000327C9" w:rsidP="000327C9">
                  <w:pPr>
                    <w:jc w:val="both"/>
                    <w:rPr>
                      <w:rFonts w:ascii="Arial Nova" w:hAnsi="Arial Nova"/>
                      <w:u w:val="single"/>
                    </w:rPr>
                  </w:pPr>
                  <w:r w:rsidRPr="00037797">
                    <w:rPr>
                      <w:rFonts w:ascii="Arial Nova" w:hAnsi="Arial Nova"/>
                    </w:rPr>
                    <w:t>Compulsorily Redeemable Preference Shares (CRPS)</w:t>
                  </w:r>
                </w:p>
              </w:tc>
            </w:tr>
            <w:tr w:rsidR="000327C9" w:rsidRPr="00037797" w14:paraId="3945D8D6" w14:textId="6D23E083" w:rsidTr="000327C9">
              <w:tc>
                <w:tcPr>
                  <w:tcW w:w="2951" w:type="dxa"/>
                  <w:vMerge/>
                </w:tcPr>
                <w:p w14:paraId="0EC867E1" w14:textId="77777777" w:rsidR="000327C9" w:rsidRPr="00037797" w:rsidRDefault="000327C9" w:rsidP="000327C9">
                  <w:pPr>
                    <w:jc w:val="both"/>
                    <w:rPr>
                      <w:rFonts w:ascii="Arial Nova" w:hAnsi="Arial Nova"/>
                      <w:u w:val="single"/>
                    </w:rPr>
                  </w:pPr>
                </w:p>
              </w:tc>
              <w:tc>
                <w:tcPr>
                  <w:tcW w:w="4961" w:type="dxa"/>
                </w:tcPr>
                <w:p w14:paraId="6E1EEFAE" w14:textId="5D568B63" w:rsidR="000327C9" w:rsidRPr="00037797" w:rsidRDefault="000327C9" w:rsidP="000327C9">
                  <w:pPr>
                    <w:jc w:val="both"/>
                    <w:rPr>
                      <w:rFonts w:ascii="Arial Nova" w:hAnsi="Arial Nova"/>
                      <w:u w:val="single"/>
                    </w:rPr>
                  </w:pPr>
                  <w:r w:rsidRPr="00037797">
                    <w:rPr>
                      <w:rFonts w:ascii="Arial Nova" w:hAnsi="Arial Nova"/>
                    </w:rPr>
                    <w:t>Subordinated debt by way of Non-Convertible Debentures (NCDs)</w:t>
                  </w:r>
                </w:p>
              </w:tc>
            </w:tr>
            <w:tr w:rsidR="000327C9" w:rsidRPr="00037797" w14:paraId="1EC1D4F6" w14:textId="1912561E" w:rsidTr="000327C9">
              <w:tc>
                <w:tcPr>
                  <w:tcW w:w="2951" w:type="dxa"/>
                  <w:vMerge/>
                </w:tcPr>
                <w:p w14:paraId="0291644F" w14:textId="77777777" w:rsidR="000327C9" w:rsidRPr="00037797" w:rsidRDefault="000327C9" w:rsidP="000327C9">
                  <w:pPr>
                    <w:jc w:val="both"/>
                    <w:rPr>
                      <w:rFonts w:ascii="Arial Nova" w:hAnsi="Arial Nova"/>
                      <w:u w:val="single"/>
                    </w:rPr>
                  </w:pPr>
                </w:p>
              </w:tc>
              <w:tc>
                <w:tcPr>
                  <w:tcW w:w="4961" w:type="dxa"/>
                </w:tcPr>
                <w:p w14:paraId="5FC9A5B0" w14:textId="5C2E35D9" w:rsidR="000327C9" w:rsidRPr="00037797" w:rsidRDefault="000327C9" w:rsidP="000327C9">
                  <w:pPr>
                    <w:jc w:val="both"/>
                    <w:rPr>
                      <w:rFonts w:ascii="Arial Nova" w:hAnsi="Arial Nova"/>
                      <w:u w:val="single"/>
                    </w:rPr>
                  </w:pPr>
                  <w:r w:rsidRPr="00037797">
                    <w:rPr>
                      <w:rFonts w:ascii="Arial Nova" w:hAnsi="Arial Nova"/>
                    </w:rPr>
                    <w:t>Rupee Term Loan</w:t>
                  </w:r>
                </w:p>
              </w:tc>
            </w:tr>
          </w:tbl>
          <w:p w14:paraId="56A7B589" w14:textId="77777777" w:rsidR="000327C9" w:rsidRDefault="000327C9" w:rsidP="00037797">
            <w:pPr>
              <w:ind w:left="360"/>
              <w:jc w:val="both"/>
              <w:rPr>
                <w:rFonts w:ascii="Arial Nova" w:hAnsi="Arial Nova"/>
                <w:b/>
                <w:bCs/>
                <w:u w:val="single"/>
              </w:rPr>
            </w:pPr>
          </w:p>
          <w:p w14:paraId="39B0E9F6" w14:textId="10C382DE" w:rsidR="000327C9" w:rsidRPr="00037797" w:rsidRDefault="000327C9" w:rsidP="00037797">
            <w:pPr>
              <w:ind w:left="360"/>
              <w:jc w:val="both"/>
              <w:rPr>
                <w:rFonts w:ascii="Arial Nova" w:hAnsi="Arial Nova"/>
                <w:b/>
                <w:bCs/>
                <w:u w:val="single"/>
              </w:rPr>
            </w:pPr>
          </w:p>
        </w:tc>
      </w:tr>
      <w:tr w:rsidR="000327C9" w:rsidRPr="00285E47" w14:paraId="24D961F3" w14:textId="77777777" w:rsidTr="000327C9">
        <w:trPr>
          <w:jc w:val="center"/>
        </w:trPr>
        <w:tc>
          <w:tcPr>
            <w:tcW w:w="675" w:type="dxa"/>
          </w:tcPr>
          <w:p w14:paraId="460C3D4A" w14:textId="011D210B" w:rsidR="000327C9" w:rsidRPr="000327C9" w:rsidRDefault="000327C9" w:rsidP="000327C9">
            <w:pPr>
              <w:jc w:val="center"/>
              <w:rPr>
                <w:rFonts w:ascii="Arial Nova" w:hAnsi="Arial Nova"/>
                <w:b/>
                <w:bCs/>
              </w:rPr>
            </w:pPr>
            <w:r w:rsidRPr="000327C9">
              <w:rPr>
                <w:rFonts w:ascii="Arial Nova" w:hAnsi="Arial Nova"/>
                <w:b/>
                <w:bCs/>
              </w:rPr>
              <w:t>4</w:t>
            </w:r>
          </w:p>
        </w:tc>
        <w:tc>
          <w:tcPr>
            <w:tcW w:w="8676" w:type="dxa"/>
            <w:gridSpan w:val="2"/>
          </w:tcPr>
          <w:p w14:paraId="4FB66F51" w14:textId="727FA883" w:rsidR="000327C9" w:rsidRDefault="000327C9" w:rsidP="00990A12">
            <w:pPr>
              <w:jc w:val="both"/>
              <w:rPr>
                <w:rFonts w:ascii="Arial Nova" w:hAnsi="Arial Nova"/>
                <w:b/>
                <w:bCs/>
                <w:u w:val="single"/>
              </w:rPr>
            </w:pPr>
            <w:r>
              <w:rPr>
                <w:rFonts w:ascii="Arial Nova" w:hAnsi="Arial Nova"/>
                <w:b/>
                <w:bCs/>
                <w:u w:val="single"/>
              </w:rPr>
              <w:t>Quantum of assistance</w:t>
            </w:r>
            <w:r w:rsidRPr="000327C9">
              <w:rPr>
                <w:rFonts w:ascii="Arial Nova" w:hAnsi="Arial Nova"/>
                <w:b/>
                <w:bCs/>
              </w:rPr>
              <w:t xml:space="preserve">:  </w:t>
            </w:r>
            <w:r w:rsidR="00990A12">
              <w:rPr>
                <w:rFonts w:ascii="Arial Nova" w:hAnsi="Arial Nova"/>
                <w:b/>
                <w:bCs/>
              </w:rPr>
              <w:t xml:space="preserve">Generally, ₹5 crore (Up to ₹10 crore for satisfactory performance) </w:t>
            </w:r>
          </w:p>
        </w:tc>
      </w:tr>
    </w:tbl>
    <w:p w14:paraId="069073DD" w14:textId="77777777" w:rsidR="00285E47" w:rsidRDefault="00285E47" w:rsidP="00285E47">
      <w:pPr>
        <w:jc w:val="center"/>
        <w:rPr>
          <w:b/>
          <w:bCs/>
          <w:u w:val="single"/>
        </w:rPr>
      </w:pPr>
    </w:p>
    <w:p w14:paraId="46EA53A3" w14:textId="06D89549" w:rsidR="00990A12" w:rsidRPr="00990A12" w:rsidRDefault="00990A12" w:rsidP="00285E47">
      <w:pPr>
        <w:jc w:val="center"/>
        <w:rPr>
          <w:b/>
          <w:bCs/>
        </w:rPr>
      </w:pPr>
      <w:r w:rsidRPr="00990A12">
        <w:rPr>
          <w:b/>
          <w:bCs/>
        </w:rPr>
        <w:t>*****</w:t>
      </w:r>
    </w:p>
    <w:sectPr w:rsidR="00990A12" w:rsidRPr="00990A12" w:rsidSect="000327C9">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FF81" w14:textId="77777777" w:rsidR="00430C15" w:rsidRDefault="00430C15" w:rsidP="000327C9">
      <w:pPr>
        <w:spacing w:after="0" w:line="240" w:lineRule="auto"/>
      </w:pPr>
      <w:r>
        <w:separator/>
      </w:r>
    </w:p>
  </w:endnote>
  <w:endnote w:type="continuationSeparator" w:id="0">
    <w:p w14:paraId="4E79B840" w14:textId="77777777" w:rsidR="00430C15" w:rsidRDefault="00430C15" w:rsidP="00032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C8D3" w14:textId="0D761BBC" w:rsidR="000327C9" w:rsidRPr="000327C9" w:rsidRDefault="000327C9">
    <w:pPr>
      <w:pStyle w:val="Footer"/>
      <w:jc w:val="center"/>
      <w:rPr>
        <w:b/>
        <w:bCs/>
        <w:sz w:val="18"/>
        <w:szCs w:val="16"/>
      </w:rPr>
    </w:pPr>
    <w:r w:rsidRPr="000327C9">
      <w:rPr>
        <w:b/>
        <w:bCs/>
        <w:sz w:val="18"/>
        <w:szCs w:val="16"/>
      </w:rPr>
      <w:t xml:space="preserve">Page </w:t>
    </w:r>
    <w:sdt>
      <w:sdtPr>
        <w:rPr>
          <w:b/>
          <w:bCs/>
          <w:sz w:val="18"/>
          <w:szCs w:val="16"/>
        </w:rPr>
        <w:id w:val="435940531"/>
        <w:docPartObj>
          <w:docPartGallery w:val="Page Numbers (Bottom of Page)"/>
          <w:docPartUnique/>
        </w:docPartObj>
      </w:sdtPr>
      <w:sdtEndPr>
        <w:rPr>
          <w:noProof/>
        </w:rPr>
      </w:sdtEndPr>
      <w:sdtContent>
        <w:r w:rsidRPr="000327C9">
          <w:rPr>
            <w:b/>
            <w:bCs/>
            <w:sz w:val="18"/>
            <w:szCs w:val="16"/>
          </w:rPr>
          <w:fldChar w:fldCharType="begin"/>
        </w:r>
        <w:r w:rsidRPr="000327C9">
          <w:rPr>
            <w:b/>
            <w:bCs/>
            <w:sz w:val="18"/>
            <w:szCs w:val="16"/>
          </w:rPr>
          <w:instrText xml:space="preserve"> PAGE   \* MERGEFORMAT </w:instrText>
        </w:r>
        <w:r w:rsidRPr="000327C9">
          <w:rPr>
            <w:b/>
            <w:bCs/>
            <w:sz w:val="18"/>
            <w:szCs w:val="16"/>
          </w:rPr>
          <w:fldChar w:fldCharType="separate"/>
        </w:r>
        <w:r w:rsidRPr="000327C9">
          <w:rPr>
            <w:b/>
            <w:bCs/>
            <w:noProof/>
            <w:sz w:val="18"/>
            <w:szCs w:val="16"/>
          </w:rPr>
          <w:t>2</w:t>
        </w:r>
        <w:r w:rsidRPr="000327C9">
          <w:rPr>
            <w:b/>
            <w:bCs/>
            <w:noProof/>
            <w:sz w:val="18"/>
            <w:szCs w:val="16"/>
          </w:rPr>
          <w:fldChar w:fldCharType="end"/>
        </w:r>
      </w:sdtContent>
    </w:sdt>
  </w:p>
  <w:p w14:paraId="7BFF6B1B" w14:textId="77777777" w:rsidR="000327C9" w:rsidRDefault="00032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4383" w14:textId="77777777" w:rsidR="000327C9" w:rsidRPr="000327C9" w:rsidRDefault="000327C9" w:rsidP="000327C9">
    <w:pPr>
      <w:pStyle w:val="Footer"/>
      <w:jc w:val="center"/>
      <w:rPr>
        <w:b/>
        <w:bCs/>
        <w:sz w:val="18"/>
        <w:szCs w:val="16"/>
      </w:rPr>
    </w:pPr>
    <w:r w:rsidRPr="000327C9">
      <w:rPr>
        <w:b/>
        <w:bCs/>
        <w:sz w:val="18"/>
        <w:szCs w:val="16"/>
      </w:rPr>
      <w:t xml:space="preserve">Page </w:t>
    </w:r>
    <w:sdt>
      <w:sdtPr>
        <w:rPr>
          <w:b/>
          <w:bCs/>
          <w:sz w:val="18"/>
          <w:szCs w:val="16"/>
        </w:rPr>
        <w:id w:val="2093118727"/>
        <w:docPartObj>
          <w:docPartGallery w:val="Page Numbers (Bottom of Page)"/>
          <w:docPartUnique/>
        </w:docPartObj>
      </w:sdtPr>
      <w:sdtEndPr>
        <w:rPr>
          <w:noProof/>
        </w:rPr>
      </w:sdtEndPr>
      <w:sdtContent>
        <w:r w:rsidRPr="000327C9">
          <w:rPr>
            <w:b/>
            <w:bCs/>
            <w:sz w:val="18"/>
            <w:szCs w:val="16"/>
          </w:rPr>
          <w:fldChar w:fldCharType="begin"/>
        </w:r>
        <w:r w:rsidRPr="000327C9">
          <w:rPr>
            <w:b/>
            <w:bCs/>
            <w:sz w:val="18"/>
            <w:szCs w:val="16"/>
          </w:rPr>
          <w:instrText xml:space="preserve"> PAGE   \* MERGEFORMAT </w:instrText>
        </w:r>
        <w:r w:rsidRPr="000327C9">
          <w:rPr>
            <w:b/>
            <w:bCs/>
            <w:sz w:val="18"/>
            <w:szCs w:val="16"/>
          </w:rPr>
          <w:fldChar w:fldCharType="separate"/>
        </w:r>
        <w:r>
          <w:rPr>
            <w:b/>
            <w:bCs/>
            <w:sz w:val="18"/>
            <w:szCs w:val="16"/>
          </w:rPr>
          <w:t>1</w:t>
        </w:r>
        <w:r w:rsidRPr="000327C9">
          <w:rPr>
            <w:b/>
            <w:bCs/>
            <w:noProof/>
            <w:sz w:val="18"/>
            <w:szCs w:val="16"/>
          </w:rPr>
          <w:fldChar w:fldCharType="end"/>
        </w:r>
      </w:sdtContent>
    </w:sdt>
  </w:p>
  <w:p w14:paraId="7B9D34E1" w14:textId="77777777" w:rsidR="000327C9" w:rsidRDefault="00032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444B" w14:textId="77777777" w:rsidR="00430C15" w:rsidRDefault="00430C15" w:rsidP="000327C9">
      <w:pPr>
        <w:spacing w:after="0" w:line="240" w:lineRule="auto"/>
      </w:pPr>
      <w:r>
        <w:separator/>
      </w:r>
    </w:p>
  </w:footnote>
  <w:footnote w:type="continuationSeparator" w:id="0">
    <w:p w14:paraId="52AF3C04" w14:textId="77777777" w:rsidR="00430C15" w:rsidRDefault="00430C15" w:rsidP="00032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877C" w14:textId="77777777" w:rsidR="000327C9" w:rsidRPr="000327C9" w:rsidRDefault="000327C9" w:rsidP="000327C9">
    <w:pPr>
      <w:jc w:val="right"/>
      <w:rPr>
        <w:rFonts w:ascii="Arial Nova" w:hAnsi="Arial Nova"/>
        <w:b/>
        <w:bCs/>
        <w:sz w:val="18"/>
        <w:szCs w:val="16"/>
        <w:u w:val="single"/>
      </w:rPr>
    </w:pPr>
    <w:r w:rsidRPr="000327C9">
      <w:rPr>
        <w:rFonts w:ascii="Arial Nova" w:hAnsi="Arial Nova"/>
        <w:b/>
        <w:bCs/>
        <w:sz w:val="18"/>
        <w:szCs w:val="16"/>
        <w:u w:val="single"/>
      </w:rPr>
      <w:t>India Microfinance Equity Fund (IMEF)</w:t>
    </w:r>
  </w:p>
  <w:p w14:paraId="01D4AE5A" w14:textId="77777777" w:rsidR="000327C9" w:rsidRDefault="00032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0E3"/>
    <w:multiLevelType w:val="hybridMultilevel"/>
    <w:tmpl w:val="8D662312"/>
    <w:lvl w:ilvl="0" w:tplc="EDFA5434">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8466BF"/>
    <w:multiLevelType w:val="hybridMultilevel"/>
    <w:tmpl w:val="E60C0040"/>
    <w:lvl w:ilvl="0" w:tplc="789C6240">
      <w:start w:val="1"/>
      <w:numFmt w:val="lowerRoman"/>
      <w:lvlText w:val="(%1)"/>
      <w:lvlJc w:val="left"/>
      <w:pPr>
        <w:ind w:left="360" w:hanging="360"/>
      </w:pPr>
      <w:rPr>
        <w:rFonts w:ascii="Rupee Foradian" w:eastAsia="Times New Roman" w:hAnsi="Rupee Foradian" w:cs="Arial"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1945564"/>
    <w:multiLevelType w:val="hybridMultilevel"/>
    <w:tmpl w:val="51D6E1A2"/>
    <w:lvl w:ilvl="0" w:tplc="228A64EC">
      <w:start w:val="1"/>
      <w:numFmt w:val="lowerRoman"/>
      <w:lvlText w:val="(%1)"/>
      <w:lvlJc w:val="right"/>
      <w:pPr>
        <w:tabs>
          <w:tab w:val="num" w:pos="1800"/>
        </w:tabs>
        <w:ind w:left="1800" w:hanging="18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67FD1277"/>
    <w:multiLevelType w:val="hybridMultilevel"/>
    <w:tmpl w:val="0AEC5400"/>
    <w:lvl w:ilvl="0" w:tplc="1C0657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D54AB"/>
    <w:multiLevelType w:val="hybridMultilevel"/>
    <w:tmpl w:val="A7C83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4CE444B"/>
    <w:multiLevelType w:val="hybridMultilevel"/>
    <w:tmpl w:val="92C6625E"/>
    <w:lvl w:ilvl="0" w:tplc="3B8A99AA">
      <w:start w:val="1"/>
      <w:numFmt w:val="decimal"/>
      <w:lvlText w:val="%1."/>
      <w:lvlJc w:val="left"/>
      <w:pPr>
        <w:tabs>
          <w:tab w:val="num" w:pos="180"/>
        </w:tabs>
        <w:ind w:left="180" w:hanging="18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73B69A8"/>
    <w:multiLevelType w:val="hybridMultilevel"/>
    <w:tmpl w:val="E22438B4"/>
    <w:lvl w:ilvl="0" w:tplc="D340C6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252742">
    <w:abstractNumId w:val="6"/>
  </w:num>
  <w:num w:numId="2" w16cid:durableId="924074420">
    <w:abstractNumId w:val="2"/>
  </w:num>
  <w:num w:numId="3" w16cid:durableId="1934779893">
    <w:abstractNumId w:val="1"/>
  </w:num>
  <w:num w:numId="4" w16cid:durableId="2019850373">
    <w:abstractNumId w:val="3"/>
  </w:num>
  <w:num w:numId="5" w16cid:durableId="1099982947">
    <w:abstractNumId w:val="5"/>
  </w:num>
  <w:num w:numId="6" w16cid:durableId="936016897">
    <w:abstractNumId w:val="0"/>
  </w:num>
  <w:num w:numId="7" w16cid:durableId="1750736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assificationTagSetId" w:val="e16409a7-1700-4153-9090-3955bc2f0ae8"/>
    <w:docVar w:name="ComplianceTagSetId" w:val="f14fc1f1-8950-40d5-8a29-45909da947d6"/>
    <w:docVar w:name="FileId" w:val="20e70f50-4ce8-46b9-a054-4de4005326f4"/>
    <w:docVar w:name="GVData" w:val="eyJPUyI6IldpbmRvd3MiLCJkb2NJRCI6IjIwZTcwZjUwLTRjZTgtNDZiOS1hMDU0LTRkZTQwMDUzMjZmNCIsImRvY1N0YXRlIjoie30iLCJwYXJlbnRMaW5lSWRzIjoiW1wiNDM1MWE3NjYtMmQ3Yi00NzA4LTkyZmItZDMzYzliY2RmOTc1XCIsXCJlMGQ0NTMxOS1i"/>
    <w:docVar w:name="GVData0" w:val="NDEzLTQxNTItYjg2NS04Y2YwYTBkYTgyZjFcIl0iLCJ3cml0dGVuS2V5cyI6IltcImd2ZG9jaWRcIixcIkNsYXNzaWZpY2F0aW9uVGFnU2V0SWRcIixcIkNvbXBsaWFuY2VUYWdTZXRJZFwiLFwiRmlsZUlkXCIsXCJVc2VySWRcIixcIlRhZ0RhdGVUaW1lXCJdIiwi"/>
    <w:docVar w:name="GVData1" w:val="bm9PZkd2RGF0YUVudHJpZXMiOiI1IiwibGluZUlkIjoiNDUwNWEyYWMtMGQ0Mi00NjcyLWJlMzgtNmI2NjFlMWE3NGMwIn0="/>
    <w:docVar w:name="GVData2" w:val="(end)"/>
    <w:docVar w:name="gvdocid" w:val="20e70f50-4ce8-46b9-a054-4de4005326f4"/>
    <w:docVar w:name="TagDateTime" w:val="2026-02-20T08:37:04Z"/>
    <w:docVar w:name="UserId" w:val="vksingh"/>
  </w:docVars>
  <w:rsids>
    <w:rsidRoot w:val="00285E47"/>
    <w:rsid w:val="000327C9"/>
    <w:rsid w:val="00037797"/>
    <w:rsid w:val="00093DD6"/>
    <w:rsid w:val="00285E47"/>
    <w:rsid w:val="00430C15"/>
    <w:rsid w:val="00645C7C"/>
    <w:rsid w:val="00681756"/>
    <w:rsid w:val="006E7ECD"/>
    <w:rsid w:val="00742C3F"/>
    <w:rsid w:val="00990A12"/>
    <w:rsid w:val="00AC7A64"/>
    <w:rsid w:val="00D42D1A"/>
    <w:rsid w:val="00DD2D79"/>
    <w:rsid w:val="00DE0F2A"/>
    <w:rsid w:val="00E95751"/>
    <w:rsid w:val="00FD3E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3CC3"/>
  <w15:chartTrackingRefBased/>
  <w15:docId w15:val="{3AB42142-3AA6-43E1-B0BB-BC78D23D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85E4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85E4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85E4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85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E4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85E4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85E4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85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E47"/>
    <w:rPr>
      <w:rFonts w:eastAsiaTheme="majorEastAsia" w:cstheme="majorBidi"/>
      <w:color w:val="272727" w:themeColor="text1" w:themeTint="D8"/>
    </w:rPr>
  </w:style>
  <w:style w:type="paragraph" w:styleId="Title">
    <w:name w:val="Title"/>
    <w:basedOn w:val="Normal"/>
    <w:next w:val="Normal"/>
    <w:link w:val="TitleChar"/>
    <w:uiPriority w:val="10"/>
    <w:qFormat/>
    <w:rsid w:val="00285E4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85E4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85E4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85E4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85E47"/>
    <w:pPr>
      <w:spacing w:before="160"/>
      <w:jc w:val="center"/>
    </w:pPr>
    <w:rPr>
      <w:i/>
      <w:iCs/>
      <w:color w:val="404040" w:themeColor="text1" w:themeTint="BF"/>
    </w:rPr>
  </w:style>
  <w:style w:type="character" w:customStyle="1" w:styleId="QuoteChar">
    <w:name w:val="Quote Char"/>
    <w:basedOn w:val="DefaultParagraphFont"/>
    <w:link w:val="Quote"/>
    <w:uiPriority w:val="29"/>
    <w:rsid w:val="00285E47"/>
    <w:rPr>
      <w:rFonts w:cs="Mangal"/>
      <w:i/>
      <w:iCs/>
      <w:color w:val="404040" w:themeColor="text1" w:themeTint="BF"/>
    </w:rPr>
  </w:style>
  <w:style w:type="paragraph" w:styleId="ListParagraph">
    <w:name w:val="List Paragraph"/>
    <w:aliases w:val="heading 4,Report Para,Heading 41,Heading 411,Graphic,List Paragraph1,normal,Paragraph,First level bullet,Citation List,Resume Title,List Paragraph (numbered (a)),References,MC Paragraphe Liste,Normal 2,Heading 91,Annexure,List Paragraph2"/>
    <w:basedOn w:val="Normal"/>
    <w:link w:val="ListParagraphChar"/>
    <w:uiPriority w:val="34"/>
    <w:qFormat/>
    <w:rsid w:val="00285E47"/>
    <w:pPr>
      <w:ind w:left="720"/>
      <w:contextualSpacing/>
    </w:pPr>
  </w:style>
  <w:style w:type="character" w:styleId="IntenseEmphasis">
    <w:name w:val="Intense Emphasis"/>
    <w:basedOn w:val="DefaultParagraphFont"/>
    <w:uiPriority w:val="21"/>
    <w:qFormat/>
    <w:rsid w:val="00285E47"/>
    <w:rPr>
      <w:i/>
      <w:iCs/>
      <w:color w:val="0F4761" w:themeColor="accent1" w:themeShade="BF"/>
    </w:rPr>
  </w:style>
  <w:style w:type="paragraph" w:styleId="IntenseQuote">
    <w:name w:val="Intense Quote"/>
    <w:basedOn w:val="Normal"/>
    <w:next w:val="Normal"/>
    <w:link w:val="IntenseQuoteChar"/>
    <w:uiPriority w:val="30"/>
    <w:qFormat/>
    <w:rsid w:val="00285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E47"/>
    <w:rPr>
      <w:rFonts w:cs="Mangal"/>
      <w:i/>
      <w:iCs/>
      <w:color w:val="0F4761" w:themeColor="accent1" w:themeShade="BF"/>
    </w:rPr>
  </w:style>
  <w:style w:type="character" w:styleId="IntenseReference">
    <w:name w:val="Intense Reference"/>
    <w:basedOn w:val="DefaultParagraphFont"/>
    <w:uiPriority w:val="32"/>
    <w:qFormat/>
    <w:rsid w:val="00285E47"/>
    <w:rPr>
      <w:b/>
      <w:bCs/>
      <w:smallCaps/>
      <w:color w:val="0F4761" w:themeColor="accent1" w:themeShade="BF"/>
      <w:spacing w:val="5"/>
    </w:rPr>
  </w:style>
  <w:style w:type="table" w:styleId="TableGrid">
    <w:name w:val="Table Grid"/>
    <w:basedOn w:val="TableNormal"/>
    <w:uiPriority w:val="39"/>
    <w:rsid w:val="00285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85E47"/>
    <w:pPr>
      <w:autoSpaceDE w:val="0"/>
      <w:autoSpaceDN w:val="0"/>
      <w:adjustRightInd w:val="0"/>
      <w:spacing w:after="0" w:line="240" w:lineRule="auto"/>
      <w:jc w:val="both"/>
    </w:pPr>
    <w:rPr>
      <w:rFonts w:ascii="Arial" w:eastAsia="Times New Roman" w:hAnsi="Arial" w:cs="Arial"/>
      <w:kern w:val="0"/>
      <w:sz w:val="24"/>
      <w:szCs w:val="22"/>
      <w:lang w:val="en-US" w:bidi="ar-SA"/>
      <w14:ligatures w14:val="none"/>
    </w:rPr>
  </w:style>
  <w:style w:type="character" w:customStyle="1" w:styleId="BodyTextChar">
    <w:name w:val="Body Text Char"/>
    <w:basedOn w:val="DefaultParagraphFont"/>
    <w:link w:val="BodyText"/>
    <w:semiHidden/>
    <w:rsid w:val="00285E47"/>
    <w:rPr>
      <w:rFonts w:ascii="Arial" w:eastAsia="Times New Roman" w:hAnsi="Arial" w:cs="Arial"/>
      <w:kern w:val="0"/>
      <w:sz w:val="24"/>
      <w:szCs w:val="22"/>
      <w:lang w:val="en-US" w:bidi="ar-SA"/>
      <w14:ligatures w14:val="none"/>
    </w:rPr>
  </w:style>
  <w:style w:type="character" w:customStyle="1" w:styleId="ListParagraphChar">
    <w:name w:val="List Paragraph Char"/>
    <w:aliases w:val="heading 4 Char,Report Para Char,Heading 41 Char,Heading 411 Char,Graphic Char,List Paragraph1 Char,normal Char,Paragraph Char,First level bullet Char,Citation List Char,Resume Title Char,List Paragraph (numbered (a)) Char"/>
    <w:basedOn w:val="DefaultParagraphFont"/>
    <w:link w:val="ListParagraph"/>
    <w:uiPriority w:val="34"/>
    <w:qFormat/>
    <w:rsid w:val="00285E47"/>
    <w:rPr>
      <w:rFonts w:cs="Mangal"/>
    </w:rPr>
  </w:style>
  <w:style w:type="paragraph" w:styleId="FootnoteText">
    <w:name w:val="footnote text"/>
    <w:basedOn w:val="Normal"/>
    <w:link w:val="FootnoteTextChar"/>
    <w:unhideWhenUsed/>
    <w:rsid w:val="00037797"/>
    <w:pPr>
      <w:spacing w:after="0" w:line="240" w:lineRule="auto"/>
    </w:pPr>
    <w:rPr>
      <w:rFonts w:ascii="Times New Roman" w:eastAsia="Times New Roman" w:hAnsi="Times New Roman" w:cs="Times New Roman"/>
      <w:kern w:val="0"/>
      <w:sz w:val="20"/>
      <w:lang w:val="en-US" w:bidi="ar-SA"/>
      <w14:ligatures w14:val="none"/>
    </w:rPr>
  </w:style>
  <w:style w:type="character" w:customStyle="1" w:styleId="FootnoteTextChar">
    <w:name w:val="Footnote Text Char"/>
    <w:basedOn w:val="DefaultParagraphFont"/>
    <w:link w:val="FootnoteText"/>
    <w:rsid w:val="00037797"/>
    <w:rPr>
      <w:rFonts w:ascii="Times New Roman" w:eastAsia="Times New Roman" w:hAnsi="Times New Roman" w:cs="Times New Roman"/>
      <w:kern w:val="0"/>
      <w:sz w:val="20"/>
      <w:lang w:val="en-US" w:bidi="ar-SA"/>
      <w14:ligatures w14:val="none"/>
    </w:rPr>
  </w:style>
  <w:style w:type="character" w:customStyle="1" w:styleId="DefaultTextChar">
    <w:name w:val="Default Text Char"/>
    <w:basedOn w:val="DefaultParagraphFont"/>
    <w:link w:val="DefaultText"/>
    <w:qFormat/>
    <w:locked/>
    <w:rsid w:val="00037797"/>
    <w:rPr>
      <w:sz w:val="24"/>
      <w:szCs w:val="24"/>
      <w:lang w:bidi="ar-SA"/>
    </w:rPr>
  </w:style>
  <w:style w:type="paragraph" w:customStyle="1" w:styleId="DefaultText">
    <w:name w:val="Default Text"/>
    <w:basedOn w:val="Normal"/>
    <w:link w:val="DefaultTextChar"/>
    <w:qFormat/>
    <w:rsid w:val="00037797"/>
    <w:pPr>
      <w:autoSpaceDE w:val="0"/>
      <w:autoSpaceDN w:val="0"/>
      <w:adjustRightInd w:val="0"/>
      <w:spacing w:after="0" w:line="240" w:lineRule="auto"/>
    </w:pPr>
    <w:rPr>
      <w:rFonts w:cstheme="minorBidi"/>
      <w:sz w:val="24"/>
      <w:szCs w:val="24"/>
      <w:lang w:bidi="ar-SA"/>
    </w:rPr>
  </w:style>
  <w:style w:type="paragraph" w:styleId="Header">
    <w:name w:val="header"/>
    <w:basedOn w:val="Normal"/>
    <w:link w:val="HeaderChar"/>
    <w:uiPriority w:val="99"/>
    <w:unhideWhenUsed/>
    <w:rsid w:val="00032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7C9"/>
    <w:rPr>
      <w:rFonts w:cs="Mangal"/>
    </w:rPr>
  </w:style>
  <w:style w:type="paragraph" w:styleId="Footer">
    <w:name w:val="footer"/>
    <w:basedOn w:val="Normal"/>
    <w:link w:val="FooterChar"/>
    <w:uiPriority w:val="99"/>
    <w:unhideWhenUsed/>
    <w:rsid w:val="00032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7C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400</Words>
  <Characters>2097</Characters>
  <Application>Microsoft Office Word</Application>
  <DocSecurity>0</DocSecurity>
  <Lines>123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P.V.S.L.Narayana</dc:creator>
  <cp:keywords/>
  <dc:description/>
  <cp:lastModifiedBy>Vijay Kumar Singh</cp:lastModifiedBy>
  <cp:revision>2</cp:revision>
  <dcterms:created xsi:type="dcterms:W3CDTF">2026-01-01T12:33:00Z</dcterms:created>
  <dcterms:modified xsi:type="dcterms:W3CDTF">2026-01-02T04:46:00Z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ocid">
    <vt:lpwstr>20e70f50-4ce8-46b9-a054-4de4005326f4</vt:lpwstr>
  </property>
  <property fmtid="{D5CDD505-2E9C-101B-9397-08002B2CF9AE}" pid="3" name="ClassificationTagSetId">
    <vt:lpwstr>e16409a7-1700-4153-9090-3955bc2f0ae8</vt:lpwstr>
  </property>
  <property fmtid="{D5CDD505-2E9C-101B-9397-08002B2CF9AE}" pid="4" name="ComplianceTagSetId">
    <vt:lpwstr>f14fc1f1-8950-40d5-8a29-45909da947d6</vt:lpwstr>
  </property>
  <property fmtid="{D5CDD505-2E9C-101B-9397-08002B2CF9AE}" pid="5" name="FileId">
    <vt:lpwstr>20e70f50-4ce8-46b9-a054-4de4005326f4</vt:lpwstr>
  </property>
  <property fmtid="{D5CDD505-2E9C-101B-9397-08002B2CF9AE}" pid="6" name="UserId">
    <vt:lpwstr>vksingh</vt:lpwstr>
  </property>
  <property fmtid="{D5CDD505-2E9C-101B-9397-08002B2CF9AE}" pid="7" name="TagDateTime">
    <vt:lpwstr>2026-02-20T08:37:04Z</vt:lpwstr>
  </property>
  <property fmtid="{D5CDD505-2E9C-101B-9397-08002B2CF9AE}" pid="8" name="GVData">
    <vt:lpwstr>eyJPUyI6IldpbmRvd3MiLCJkb2NJRCI6IjIwZTcwZjUwLTRjZTgtNDZiOS1hMDU0LTRkZTQwMDUzMjZmNCIsImRvY1N0YXRlIjoie30iLCJwYXJlbnRMaW5lSWRzIjoiW1wiNDM1MWE3NjYtMmQ3Yi00NzA4LTkyZmItZDMzYzliY2RmOTc1XCIsXCJlMGQ0NTMxOS1i</vt:lpwstr>
  </property>
  <property fmtid="{D5CDD505-2E9C-101B-9397-08002B2CF9AE}" pid="9" name="GVData0">
    <vt:lpwstr>NDEzLTQxNTItYjg2NS04Y2YwYTBkYTgyZjFcIl0iLCJ3cml0dGVuS2V5cyI6IltcImd2ZG9jaWRcIixcIkNsYXNzaWZpY2F0aW9uVGFnU2V0SWRcIixcIkNvbXBsaWFuY2VUYWdTZXRJZFwiLFwiRmlsZUlkXCIsXCJVc2VySWRcIixcIlRhZ0RhdGVUaW1lXCJdIiwi</vt:lpwstr>
  </property>
  <property fmtid="{D5CDD505-2E9C-101B-9397-08002B2CF9AE}" pid="10" name="GVData1">
    <vt:lpwstr>bm9PZkd2RGF0YUVudHJpZXMiOiI1IiwibGluZUlkIjoiNDUwNWEyYWMtMGQ0Mi00NjcyLWJlMzgtNmI2NjFlMWE3NGMwIn0=</vt:lpwstr>
  </property>
  <property fmtid="{D5CDD505-2E9C-101B-9397-08002B2CF9AE}" pid="11" name="GVData2">
    <vt:lpwstr>(end)</vt:lpwstr>
  </property>
</Properties>
</file>